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jc w:val="center"/>
        <w:rPr>
          <w:rFonts w:ascii="方正小标宋_GBK" w:hAnsi="方正小标宋_GBK" w:eastAsia="方正小标宋_GBK" w:cs="方正小标宋_GBK"/>
          <w:b w:val="0"/>
          <w:bCs/>
          <w:sz w:val="44"/>
          <w:szCs w:val="44"/>
        </w:rPr>
      </w:pPr>
      <w:bookmarkStart w:id="0" w:name="_GoBack"/>
      <w:bookmarkEnd w:id="0"/>
      <w:r>
        <w:rPr>
          <w:rFonts w:hint="eastAsia" w:ascii="方正小标宋_GBK" w:hAnsi="方正小标宋_GBK" w:eastAsia="方正小标宋_GBK" w:cs="方正小标宋_GBK"/>
          <w:b w:val="0"/>
          <w:bCs/>
          <w:sz w:val="44"/>
          <w:szCs w:val="44"/>
        </w:rPr>
        <w:t>征求意见建议汇总表</w:t>
      </w:r>
    </w:p>
    <w:tbl>
      <w:tblPr>
        <w:tblStyle w:val="12"/>
        <w:tblW w:w="14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16"/>
        <w:gridCol w:w="6263"/>
        <w:gridCol w:w="1776"/>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0" w:type="dxa"/>
            <w:vAlign w:val="center"/>
          </w:tcPr>
          <w:p>
            <w:pPr>
              <w:pStyle w:val="16"/>
              <w:ind w:firstLine="0"/>
              <w:rPr>
                <w:rFonts w:ascii="黑体" w:hAnsi="黑体" w:eastAsia="黑体" w:cs="黑体"/>
                <w:b w:val="0"/>
                <w:bCs/>
                <w:sz w:val="32"/>
              </w:rPr>
            </w:pPr>
            <w:r>
              <w:rPr>
                <w:rFonts w:hint="eastAsia" w:ascii="黑体" w:hAnsi="黑体" w:eastAsia="黑体" w:cs="黑体"/>
                <w:b w:val="0"/>
                <w:bCs/>
                <w:sz w:val="32"/>
              </w:rPr>
              <w:t>序号</w:t>
            </w:r>
          </w:p>
        </w:tc>
        <w:tc>
          <w:tcPr>
            <w:tcW w:w="1316" w:type="dxa"/>
            <w:vAlign w:val="center"/>
          </w:tcPr>
          <w:p>
            <w:pPr>
              <w:widowControl/>
              <w:jc w:val="center"/>
              <w:textAlignment w:val="center"/>
              <w:rPr>
                <w:rFonts w:ascii="黑体" w:hAnsi="黑体" w:eastAsia="黑体" w:cs="黑体"/>
                <w:bCs/>
                <w:sz w:val="32"/>
                <w:szCs w:val="32"/>
              </w:rPr>
            </w:pPr>
            <w:r>
              <w:rPr>
                <w:rFonts w:hint="eastAsia" w:ascii="黑体" w:hAnsi="黑体" w:eastAsia="黑体" w:cs="黑体"/>
                <w:bCs/>
                <w:sz w:val="32"/>
                <w:szCs w:val="32"/>
              </w:rPr>
              <w:t>单位</w:t>
            </w:r>
          </w:p>
        </w:tc>
        <w:tc>
          <w:tcPr>
            <w:tcW w:w="6263" w:type="dxa"/>
            <w:vAlign w:val="center"/>
          </w:tcPr>
          <w:p>
            <w:pPr>
              <w:widowControl/>
              <w:jc w:val="center"/>
              <w:textAlignment w:val="center"/>
              <w:rPr>
                <w:rFonts w:ascii="黑体" w:hAnsi="黑体" w:eastAsia="黑体" w:cs="黑体"/>
                <w:bCs/>
                <w:sz w:val="32"/>
                <w:szCs w:val="32"/>
              </w:rPr>
            </w:pPr>
            <w:r>
              <w:rPr>
                <w:rFonts w:hint="eastAsia" w:ascii="黑体" w:hAnsi="黑体" w:eastAsia="黑体" w:cs="黑体"/>
                <w:bCs/>
                <w:sz w:val="32"/>
                <w:szCs w:val="32"/>
              </w:rPr>
              <w:t>意见或建议</w:t>
            </w:r>
          </w:p>
        </w:tc>
        <w:tc>
          <w:tcPr>
            <w:tcW w:w="1776" w:type="dxa"/>
            <w:vAlign w:val="center"/>
          </w:tcPr>
          <w:p>
            <w:pPr>
              <w:widowControl/>
              <w:jc w:val="center"/>
              <w:textAlignment w:val="center"/>
              <w:rPr>
                <w:rFonts w:ascii="黑体" w:hAnsi="黑体" w:eastAsia="黑体" w:cs="黑体"/>
                <w:bCs/>
                <w:sz w:val="32"/>
                <w:szCs w:val="32"/>
              </w:rPr>
            </w:pPr>
            <w:r>
              <w:rPr>
                <w:rFonts w:hint="eastAsia" w:ascii="黑体" w:hAnsi="黑体" w:eastAsia="黑体" w:cs="黑体"/>
                <w:bCs/>
                <w:sz w:val="32"/>
                <w:szCs w:val="32"/>
              </w:rPr>
              <w:t>是否采纳</w:t>
            </w:r>
          </w:p>
        </w:tc>
        <w:tc>
          <w:tcPr>
            <w:tcW w:w="4423" w:type="dxa"/>
            <w:vAlign w:val="center"/>
          </w:tcPr>
          <w:p>
            <w:pPr>
              <w:widowControl/>
              <w:jc w:val="center"/>
              <w:textAlignment w:val="center"/>
              <w:rPr>
                <w:rFonts w:ascii="黑体" w:hAnsi="黑体" w:eastAsia="黑体" w:cs="黑体"/>
                <w:bCs/>
                <w:sz w:val="32"/>
                <w:szCs w:val="32"/>
              </w:rPr>
            </w:pPr>
            <w:r>
              <w:rPr>
                <w:rFonts w:hint="eastAsia" w:ascii="黑体" w:hAnsi="黑体" w:eastAsia="黑体" w:cs="黑体"/>
                <w:bCs/>
                <w:sz w:val="32"/>
                <w:szCs w:val="32"/>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00" w:type="dxa"/>
            <w:vAlign w:val="center"/>
          </w:tcPr>
          <w:p>
            <w:pPr>
              <w:widowControl/>
              <w:spacing w:line="300" w:lineRule="exact"/>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color w:val="000000"/>
                <w:kern w:val="0"/>
                <w:sz w:val="22"/>
                <w:szCs w:val="22"/>
              </w:rPr>
              <w:t>1</w:t>
            </w:r>
          </w:p>
        </w:tc>
        <w:tc>
          <w:tcPr>
            <w:tcW w:w="1316" w:type="dxa"/>
            <w:vAlign w:val="center"/>
          </w:tcPr>
          <w:p>
            <w:pPr>
              <w:widowControl/>
              <w:spacing w:line="300" w:lineRule="exact"/>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市人社局</w:t>
            </w:r>
          </w:p>
        </w:tc>
        <w:tc>
          <w:tcPr>
            <w:tcW w:w="6263" w:type="dxa"/>
            <w:vAlign w:val="center"/>
          </w:tcPr>
          <w:p>
            <w:pPr>
              <w:widowControl/>
              <w:spacing w:line="300" w:lineRule="exact"/>
              <w:jc w:val="center"/>
              <w:textAlignment w:val="center"/>
              <w:rPr>
                <w:rFonts w:hint="eastAsia" w:ascii="仿宋_GB2312" w:hAnsi="仿宋_GB2312" w:eastAsia="仿宋_GB2312" w:cs="仿宋_GB2312"/>
                <w:bCs/>
                <w:spacing w:val="-11"/>
                <w:sz w:val="22"/>
                <w:szCs w:val="22"/>
                <w:lang w:eastAsia="zh-CN"/>
              </w:rPr>
            </w:pPr>
            <w:r>
              <w:rPr>
                <w:rFonts w:hint="eastAsia" w:ascii="仿宋_GB2312" w:hAnsi="仿宋_GB2312" w:eastAsia="仿宋_GB2312" w:cs="仿宋_GB2312"/>
                <w:color w:val="000000"/>
                <w:kern w:val="0"/>
                <w:sz w:val="22"/>
                <w:szCs w:val="22"/>
              </w:rPr>
              <w:t>无意见</w:t>
            </w:r>
          </w:p>
        </w:tc>
        <w:tc>
          <w:tcPr>
            <w:tcW w:w="1776" w:type="dxa"/>
            <w:vAlign w:val="center"/>
          </w:tcPr>
          <w:p>
            <w:pPr>
              <w:widowControl/>
              <w:jc w:val="center"/>
              <w:textAlignment w:val="center"/>
              <w:rPr>
                <w:rFonts w:hint="eastAsia" w:ascii="仿宋_GB2312" w:hAnsi="仿宋_GB2312" w:eastAsia="仿宋_GB2312" w:cs="仿宋_GB2312"/>
                <w:bCs/>
                <w:sz w:val="22"/>
                <w:szCs w:val="22"/>
                <w:lang w:val="en-US" w:eastAsia="zh-CN"/>
              </w:rPr>
            </w:pPr>
          </w:p>
        </w:tc>
        <w:tc>
          <w:tcPr>
            <w:tcW w:w="4423" w:type="dxa"/>
            <w:vAlign w:val="center"/>
          </w:tcPr>
          <w:p>
            <w:pPr>
              <w:widowControl/>
              <w:ind w:firstLine="440" w:firstLineChars="200"/>
              <w:jc w:val="left"/>
              <w:textAlignment w:val="center"/>
              <w:rPr>
                <w:rFonts w:hint="eastAsia" w:ascii="仿宋_GB2312" w:hAnsi="仿宋_GB2312" w:eastAsia="仿宋_GB2312" w:cs="仿宋_GB2312"/>
                <w:bCs/>
                <w:sz w:val="22"/>
                <w:szCs w:val="22"/>
                <w:vertAlign w:val="subscrip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color w:val="000000"/>
                <w:kern w:val="0"/>
                <w:sz w:val="22"/>
                <w:szCs w:val="22"/>
              </w:rPr>
              <w:t>2</w:t>
            </w:r>
          </w:p>
        </w:tc>
        <w:tc>
          <w:tcPr>
            <w:tcW w:w="1316" w:type="dxa"/>
            <w:vAlign w:val="center"/>
          </w:tcPr>
          <w:p>
            <w:pPr>
              <w:widowControl/>
              <w:spacing w:line="300" w:lineRule="exact"/>
              <w:jc w:val="center"/>
              <w:textAlignment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lang w:val="en-US" w:eastAsia="zh-CN"/>
              </w:rPr>
              <w:t>市财政局</w:t>
            </w:r>
          </w:p>
        </w:tc>
        <w:tc>
          <w:tcPr>
            <w:tcW w:w="6263" w:type="dxa"/>
            <w:vAlign w:val="center"/>
          </w:tcPr>
          <w:p>
            <w:pPr>
              <w:widowControl/>
              <w:spacing w:line="300" w:lineRule="exact"/>
              <w:ind w:firstLine="396" w:firstLineChars="200"/>
              <w:textAlignment w:val="center"/>
              <w:rPr>
                <w:rFonts w:hint="eastAsia" w:ascii="仿宋_GB2312" w:hAnsi="仿宋_GB2312" w:eastAsia="仿宋_GB2312" w:cs="仿宋_GB2312"/>
                <w:color w:val="000000"/>
                <w:spacing w:val="-11"/>
                <w:kern w:val="0"/>
                <w:sz w:val="22"/>
                <w:szCs w:val="22"/>
              </w:rPr>
            </w:pPr>
            <w:r>
              <w:rPr>
                <w:rFonts w:hint="eastAsia" w:ascii="仿宋_GB2312" w:hAnsi="仿宋_GB2312" w:eastAsia="仿宋_GB2312" w:cs="仿宋_GB2312"/>
                <w:color w:val="000000"/>
                <w:spacing w:val="-11"/>
                <w:kern w:val="0"/>
                <w:sz w:val="22"/>
                <w:szCs w:val="22"/>
              </w:rPr>
              <w:t>建议一:将第(七)点修改为“改革工资总额确定方法。按照国家工资收入分配宏观政策要求,以出资人机构同意的上年度工资总额清算额为基数,按照联动机制和考核评价结果,兼顾企业发展战略和</w:t>
            </w:r>
            <w:r>
              <w:rPr>
                <w:rFonts w:hint="eastAsia" w:ascii="仿宋_GB2312" w:hAnsi="仿宋_GB2312" w:eastAsia="仿宋_GB2312" w:cs="仿宋_GB2312"/>
                <w:color w:val="000000"/>
                <w:spacing w:val="-11"/>
                <w:kern w:val="0"/>
                <w:sz w:val="22"/>
                <w:szCs w:val="22"/>
                <w:lang w:val="en-US" w:eastAsia="zh-CN"/>
              </w:rPr>
              <w:t>薪酬</w:t>
            </w:r>
            <w:r>
              <w:rPr>
                <w:rFonts w:hint="eastAsia" w:ascii="仿宋_GB2312" w:hAnsi="仿宋_GB2312" w:eastAsia="仿宋_GB2312" w:cs="仿宋_GB2312"/>
                <w:color w:val="000000"/>
                <w:spacing w:val="-11"/>
                <w:kern w:val="0"/>
                <w:sz w:val="22"/>
                <w:szCs w:val="22"/>
              </w:rPr>
              <w:t>策略、年度生产经营目标和经济效益,综合考虑劳动生产率提高和人工成本投入产出率、职工工资水平市场对标等情况,结合政府职能部门发布的工资指导线,合理确定年度工资总额。”</w:t>
            </w:r>
          </w:p>
          <w:p>
            <w:pPr>
              <w:widowControl/>
              <w:spacing w:line="300" w:lineRule="exact"/>
              <w:ind w:firstLine="396" w:firstLineChars="200"/>
              <w:textAlignment w:val="center"/>
              <w:rPr>
                <w:rFonts w:hint="eastAsia" w:ascii="仿宋_GB2312" w:hAnsi="仿宋_GB2312" w:eastAsia="仿宋_GB2312" w:cs="仿宋_GB2312"/>
                <w:bCs/>
                <w:spacing w:val="-11"/>
                <w:sz w:val="22"/>
                <w:szCs w:val="22"/>
                <w:lang w:eastAsia="zh-CN"/>
              </w:rPr>
            </w:pPr>
            <w:r>
              <w:rPr>
                <w:rFonts w:hint="eastAsia" w:ascii="仿宋_GB2312" w:hAnsi="仿宋_GB2312" w:eastAsia="仿宋_GB2312" w:cs="仿宋_GB2312"/>
                <w:color w:val="000000"/>
                <w:spacing w:val="-11"/>
                <w:kern w:val="0"/>
                <w:sz w:val="22"/>
                <w:szCs w:val="22"/>
              </w:rPr>
              <w:t>建议二:在第(八)点中的“企业未实现国有资本保值増值的,工资总额不得增长,或者适度下降。”増加“对从事政府准公</w:t>
            </w:r>
            <w:r>
              <w:rPr>
                <w:rFonts w:hint="eastAsia" w:ascii="仿宋_GB2312" w:hAnsi="仿宋_GB2312" w:eastAsia="仿宋_GB2312" w:cs="仿宋_GB2312"/>
                <w:bCs/>
                <w:spacing w:val="-11"/>
                <w:sz w:val="22"/>
                <w:szCs w:val="22"/>
                <w:lang w:eastAsia="zh-CN"/>
              </w:rPr>
              <w:t>共产品、公益服务性为主的国有企业,为落实国家减费让利政策,比照市场平均水平减免的担保费、过桥资金占用费、融资租赁费等相关费用,纳入国有资本保值增值和盈利指标考核指标核算。”</w:t>
            </w:r>
          </w:p>
          <w:p>
            <w:pPr>
              <w:widowControl/>
              <w:spacing w:line="300" w:lineRule="exact"/>
              <w:ind w:firstLine="396" w:firstLineChars="200"/>
              <w:textAlignment w:val="center"/>
              <w:rPr>
                <w:rFonts w:hint="eastAsia" w:ascii="仿宋_GB2312" w:hAnsi="仿宋_GB2312" w:eastAsia="仿宋_GB2312" w:cs="仿宋_GB2312"/>
                <w:bCs/>
                <w:spacing w:val="-11"/>
                <w:kern w:val="2"/>
                <w:sz w:val="22"/>
                <w:szCs w:val="22"/>
                <w:lang w:val="en-US" w:eastAsia="zh-CN" w:bidi="ar-SA"/>
              </w:rPr>
            </w:pPr>
            <w:r>
              <w:rPr>
                <w:rFonts w:hint="eastAsia" w:ascii="仿宋_GB2312" w:hAnsi="仿宋_GB2312" w:eastAsia="仿宋_GB2312" w:cs="仿宋_GB2312"/>
                <w:bCs/>
                <w:spacing w:val="-11"/>
                <w:sz w:val="22"/>
                <w:szCs w:val="22"/>
                <w:lang w:eastAsia="zh-CN"/>
              </w:rPr>
              <w:t>建议三:将第(九)点中的“商业性金融类国有企业,主要选取反映经济效益、资产质量和偿付能力等情况的指标,”修改为“商业性金融类国有企业,主要选取反映经济效益、投资收益、资产质量、股东回报、偿付能力、风险控制等情况的指标;政策性金融类企业,主要选取与落实国家宏观政策、服务微观经济和实体经济效果、政策性任务完成情况以及经济效益和风险控制等情况的指标。”</w:t>
            </w:r>
          </w:p>
        </w:tc>
        <w:tc>
          <w:tcPr>
            <w:tcW w:w="1776" w:type="dxa"/>
            <w:vAlign w:val="center"/>
          </w:tcPr>
          <w:p>
            <w:pPr>
              <w:widowControl/>
              <w:jc w:val="center"/>
              <w:textAlignment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color w:val="000000"/>
                <w:kern w:val="0"/>
                <w:sz w:val="22"/>
                <w:szCs w:val="22"/>
              </w:rPr>
              <w:t>部分采纳</w:t>
            </w:r>
          </w:p>
        </w:tc>
        <w:tc>
          <w:tcPr>
            <w:tcW w:w="4423" w:type="dxa"/>
            <w:vAlign w:val="center"/>
          </w:tcPr>
          <w:p>
            <w:pPr>
              <w:widowControl/>
              <w:spacing w:line="300" w:lineRule="exact"/>
              <w:ind w:firstLine="396" w:firstLineChars="200"/>
              <w:textAlignment w:val="center"/>
              <w:rPr>
                <w:rFonts w:hint="eastAsia" w:ascii="仿宋_GB2312" w:hAnsi="仿宋_GB2312" w:eastAsia="仿宋_GB2312" w:cs="仿宋_GB2312"/>
                <w:color w:val="000000"/>
                <w:spacing w:val="-11"/>
                <w:kern w:val="0"/>
                <w:sz w:val="22"/>
                <w:szCs w:val="22"/>
                <w:lang w:val="en-US" w:eastAsia="zh-CN"/>
              </w:rPr>
            </w:pPr>
            <w:r>
              <w:rPr>
                <w:rFonts w:hint="eastAsia" w:ascii="仿宋_GB2312" w:hAnsi="仿宋_GB2312" w:eastAsia="仿宋_GB2312" w:cs="仿宋_GB2312"/>
                <w:color w:val="000000"/>
                <w:spacing w:val="-11"/>
                <w:kern w:val="0"/>
                <w:sz w:val="22"/>
                <w:szCs w:val="22"/>
                <w:lang w:val="en-US" w:eastAsia="zh-CN"/>
              </w:rPr>
              <w:t>依据《关于改革国有企业工资决定机制的意见》（</w:t>
            </w:r>
            <w:r>
              <w:rPr>
                <w:rFonts w:hint="eastAsia" w:ascii="仿宋_GB2312" w:hAnsi="仿宋_GB2312" w:eastAsia="仿宋_GB2312" w:cs="仿宋_GB2312"/>
                <w:color w:val="000000"/>
                <w:spacing w:val="-11"/>
                <w:kern w:val="0"/>
                <w:sz w:val="22"/>
                <w:szCs w:val="22"/>
              </w:rPr>
              <w:t>国发〔2018〕16号</w:t>
            </w:r>
            <w:r>
              <w:rPr>
                <w:rFonts w:hint="eastAsia" w:ascii="仿宋_GB2312" w:hAnsi="仿宋_GB2312" w:eastAsia="仿宋_GB2312" w:cs="仿宋_GB2312"/>
                <w:color w:val="000000"/>
                <w:spacing w:val="-11"/>
                <w:kern w:val="0"/>
                <w:sz w:val="22"/>
                <w:szCs w:val="22"/>
                <w:lang w:val="en-US" w:eastAsia="zh-CN"/>
              </w:rPr>
              <w:t>）、《省人民政府关于改革国有企业工资决定机制的实施意见》（鄂政发〔2018〕46号）等政策规定，</w:t>
            </w:r>
            <w:r>
              <w:rPr>
                <w:rFonts w:hint="eastAsia" w:ascii="仿宋_GB2312" w:hAnsi="仿宋_GB2312" w:eastAsia="仿宋_GB2312" w:cs="仿宋_GB2312"/>
                <w:color w:val="000000"/>
                <w:spacing w:val="-11"/>
                <w:kern w:val="0"/>
                <w:sz w:val="22"/>
                <w:szCs w:val="22"/>
              </w:rPr>
              <w:t>审议稿中最后修改为“</w:t>
            </w:r>
            <w:r>
              <w:rPr>
                <w:rFonts w:hint="eastAsia" w:ascii="仿宋_GB2312" w:hAnsi="仿宋_GB2312" w:eastAsia="仿宋_GB2312" w:cs="仿宋_GB2312"/>
                <w:color w:val="000000"/>
                <w:spacing w:val="-11"/>
                <w:kern w:val="0"/>
                <w:sz w:val="22"/>
                <w:szCs w:val="22"/>
                <w:lang w:eastAsia="zh-CN"/>
              </w:rPr>
              <w:t>（</w:t>
            </w:r>
            <w:r>
              <w:rPr>
                <w:rFonts w:hint="eastAsia" w:ascii="仿宋_GB2312" w:hAnsi="仿宋_GB2312" w:eastAsia="仿宋_GB2312" w:cs="仿宋_GB2312"/>
                <w:color w:val="000000"/>
                <w:spacing w:val="-11"/>
                <w:kern w:val="0"/>
                <w:sz w:val="22"/>
                <w:szCs w:val="22"/>
                <w:lang w:val="en-US" w:eastAsia="zh-CN"/>
              </w:rPr>
              <w:t>七</w:t>
            </w:r>
            <w:r>
              <w:rPr>
                <w:rFonts w:hint="eastAsia" w:ascii="仿宋_GB2312" w:hAnsi="仿宋_GB2312" w:eastAsia="仿宋_GB2312" w:cs="仿宋_GB2312"/>
                <w:color w:val="000000"/>
                <w:spacing w:val="-11"/>
                <w:kern w:val="0"/>
                <w:sz w:val="22"/>
                <w:szCs w:val="22"/>
                <w:lang w:eastAsia="zh-CN"/>
              </w:rPr>
              <w:t>）</w:t>
            </w:r>
            <w:r>
              <w:rPr>
                <w:rFonts w:hint="eastAsia" w:ascii="仿宋_GB2312" w:hAnsi="仿宋_GB2312" w:eastAsia="仿宋_GB2312" w:cs="仿宋_GB2312"/>
                <w:color w:val="000000"/>
                <w:spacing w:val="-11"/>
                <w:kern w:val="0"/>
                <w:sz w:val="22"/>
                <w:szCs w:val="22"/>
                <w:lang w:val="en-US" w:eastAsia="zh-CN"/>
              </w:rPr>
              <w:t>改革工资总额确定办法。按照国家工资收入分配宏观政策要求，根据企业发展战略和薪酬策略、年度生产经营目标和经济效益，以上年度工资总额清算额为基数，综合考虑劳动生产率和人工成本投入产出率、职工工资水平市场对标等情况，结合政府职能部门发布的工资指导线、以及出资人确定的经营业绩考核评价结果等因素，合理确定企业年度工资总额。“（八）......企业因落实国家让利政策减少的收益，由出资人依据政策规定加回计算。”“(九)......商业性金融类国有企业，主要选取反映经济效益、投资收益、资产质量、偿付能力、风险控制等情况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color w:val="000000"/>
                <w:kern w:val="0"/>
                <w:sz w:val="22"/>
                <w:szCs w:val="22"/>
              </w:rPr>
              <w:t>3</w:t>
            </w:r>
          </w:p>
        </w:tc>
        <w:tc>
          <w:tcPr>
            <w:tcW w:w="1316" w:type="dxa"/>
            <w:vAlign w:val="center"/>
          </w:tcPr>
          <w:p>
            <w:pPr>
              <w:widowControl/>
              <w:jc w:val="center"/>
              <w:textAlignment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kern w:val="2"/>
                <w:sz w:val="22"/>
                <w:szCs w:val="22"/>
                <w:lang w:val="en-US" w:eastAsia="zh-CN" w:bidi="ar-SA"/>
              </w:rPr>
              <w:t>市审计局</w:t>
            </w:r>
          </w:p>
        </w:tc>
        <w:tc>
          <w:tcPr>
            <w:tcW w:w="626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kern w:val="0"/>
                <w:sz w:val="22"/>
                <w:szCs w:val="22"/>
              </w:rPr>
              <w:t>无意见</w:t>
            </w:r>
          </w:p>
        </w:tc>
        <w:tc>
          <w:tcPr>
            <w:tcW w:w="1776" w:type="dxa"/>
            <w:vAlign w:val="center"/>
          </w:tcPr>
          <w:p>
            <w:pPr>
              <w:widowControl/>
              <w:jc w:val="center"/>
              <w:textAlignment w:val="center"/>
              <w:rPr>
                <w:rFonts w:hint="eastAsia" w:ascii="仿宋_GB2312" w:hAnsi="仿宋_GB2312" w:eastAsia="仿宋_GB2312" w:cs="仿宋_GB2312"/>
                <w:bCs/>
                <w:sz w:val="22"/>
                <w:szCs w:val="22"/>
              </w:rPr>
            </w:pPr>
          </w:p>
        </w:tc>
        <w:tc>
          <w:tcPr>
            <w:tcW w:w="4423" w:type="dxa"/>
            <w:vAlign w:val="center"/>
          </w:tcPr>
          <w:p>
            <w:pPr>
              <w:widowControl/>
              <w:spacing w:line="300" w:lineRule="exact"/>
              <w:ind w:firstLine="396" w:firstLineChars="200"/>
              <w:textAlignment w:val="center"/>
              <w:rPr>
                <w:rFonts w:hint="eastAsia" w:ascii="仿宋_GB2312" w:hAnsi="仿宋_GB2312" w:eastAsia="仿宋_GB2312" w:cs="仿宋_GB2312"/>
                <w:color w:val="000000"/>
                <w:spacing w:val="-1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900" w:type="dxa"/>
            <w:vAlign w:val="center"/>
          </w:tcPr>
          <w:p>
            <w:pPr>
              <w:widowControl/>
              <w:jc w:val="center"/>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4</w:t>
            </w:r>
          </w:p>
        </w:tc>
        <w:tc>
          <w:tcPr>
            <w:tcW w:w="1316" w:type="dxa"/>
            <w:vAlign w:val="center"/>
          </w:tcPr>
          <w:p>
            <w:pPr>
              <w:widowControl/>
              <w:jc w:val="center"/>
              <w:textAlignment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lang w:val="en-US" w:eastAsia="zh-CN"/>
              </w:rPr>
              <w:t>市城发集团</w:t>
            </w:r>
          </w:p>
        </w:tc>
        <w:tc>
          <w:tcPr>
            <w:tcW w:w="626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kern w:val="0"/>
                <w:sz w:val="22"/>
                <w:szCs w:val="22"/>
              </w:rPr>
              <w:t>无意见</w:t>
            </w:r>
          </w:p>
        </w:tc>
        <w:tc>
          <w:tcPr>
            <w:tcW w:w="1776" w:type="dxa"/>
            <w:vAlign w:val="center"/>
          </w:tcPr>
          <w:p>
            <w:pPr>
              <w:widowControl/>
              <w:jc w:val="center"/>
              <w:textAlignment w:val="center"/>
              <w:rPr>
                <w:rFonts w:hint="eastAsia" w:ascii="仿宋_GB2312" w:hAnsi="仿宋_GB2312" w:eastAsia="仿宋_GB2312" w:cs="仿宋_GB2312"/>
                <w:bCs/>
                <w:sz w:val="22"/>
                <w:szCs w:val="22"/>
              </w:rPr>
            </w:pPr>
          </w:p>
        </w:tc>
        <w:tc>
          <w:tcPr>
            <w:tcW w:w="4423"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5</w:t>
            </w:r>
          </w:p>
        </w:tc>
        <w:tc>
          <w:tcPr>
            <w:tcW w:w="1316" w:type="dxa"/>
            <w:vAlign w:val="center"/>
          </w:tcPr>
          <w:p>
            <w:pPr>
              <w:widowControl/>
              <w:jc w:val="center"/>
              <w:textAlignment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lang w:val="en-US" w:eastAsia="zh-CN"/>
              </w:rPr>
              <w:t>市高投集团</w:t>
            </w:r>
          </w:p>
        </w:tc>
        <w:tc>
          <w:tcPr>
            <w:tcW w:w="6263" w:type="dxa"/>
            <w:vAlign w:val="center"/>
          </w:tcPr>
          <w:p>
            <w:pPr>
              <w:widowControl/>
              <w:spacing w:line="300" w:lineRule="exact"/>
              <w:ind w:firstLine="396" w:firstLineChars="200"/>
              <w:jc w:val="left"/>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bCs/>
                <w:spacing w:val="-11"/>
                <w:sz w:val="22"/>
                <w:szCs w:val="22"/>
                <w:lang w:eastAsia="zh-CN"/>
              </w:rPr>
              <w:t>建议:一是明确副总经理层(含相当职务人员)的薪酬是由公司董事会研究决定后报履行出资人职责的机构备案,还是由公司董事会提出拟分配意见后报履行出资人职责的机构审批。二是建议进一步明确“国有企业领导人员基本年薪的0.6-0.9倍”的定义,避免产生歧义。</w:t>
            </w:r>
          </w:p>
        </w:tc>
        <w:tc>
          <w:tcPr>
            <w:tcW w:w="1776" w:type="dxa"/>
            <w:vAlign w:val="center"/>
          </w:tcPr>
          <w:p>
            <w:pPr>
              <w:widowControl/>
              <w:jc w:val="center"/>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采纳</w:t>
            </w:r>
          </w:p>
        </w:tc>
        <w:tc>
          <w:tcPr>
            <w:tcW w:w="4423" w:type="dxa"/>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00" w:lineRule="exact"/>
              <w:ind w:right="0" w:rightChars="0" w:firstLine="396" w:firstLineChars="200"/>
              <w:jc w:val="both"/>
              <w:textAlignment w:val="auto"/>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spacing w:val="-11"/>
                <w:kern w:val="0"/>
                <w:sz w:val="22"/>
                <w:szCs w:val="22"/>
                <w:lang w:val="en-US" w:eastAsia="zh-CN" w:bidi="ar-SA"/>
              </w:rPr>
              <w:t>审议稿中最后修改为“副总经理层以及相当职务人员的基本年薪由公司董事会依据出资人考核结果并结合个人履职绩效及岗位职责与风险等因素，按照国有企业领导人员基本年薪的0.6、0.7、0.8、0.9倍适当拉开分配差距，确定分配系数，报履行出资人职责的机构备案后执行。公司董事会对副总经理以及相当职务人员考核确定薪酬发放倍数确有困难的，由履行出资人职责的机构考核确定。</w:t>
            </w:r>
          </w:p>
          <w:p>
            <w:pPr>
              <w:keepNext w:val="0"/>
              <w:keepLines w:val="0"/>
              <w:pageBreakBefore w:val="0"/>
              <w:widowControl/>
              <w:kinsoku/>
              <w:wordWrap/>
              <w:overflowPunct/>
              <w:topLinePunct w:val="0"/>
              <w:autoSpaceDE/>
              <w:autoSpaceDN/>
              <w:bidi w:val="0"/>
              <w:adjustRightInd/>
              <w:snapToGrid/>
              <w:spacing w:line="300" w:lineRule="exact"/>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5</w:t>
            </w:r>
          </w:p>
        </w:tc>
        <w:tc>
          <w:tcPr>
            <w:tcW w:w="1316" w:type="dxa"/>
            <w:vAlign w:val="center"/>
          </w:tcPr>
          <w:p>
            <w:pPr>
              <w:widowControl/>
              <w:jc w:val="center"/>
              <w:textAlignment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lang w:val="en-US" w:eastAsia="zh-CN"/>
              </w:rPr>
              <w:t>市绿投公司</w:t>
            </w:r>
          </w:p>
        </w:tc>
        <w:tc>
          <w:tcPr>
            <w:tcW w:w="626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kern w:val="0"/>
                <w:sz w:val="22"/>
                <w:szCs w:val="22"/>
              </w:rPr>
              <w:t>无意见</w:t>
            </w:r>
          </w:p>
        </w:tc>
        <w:tc>
          <w:tcPr>
            <w:tcW w:w="1776"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4423"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6</w:t>
            </w:r>
          </w:p>
        </w:tc>
        <w:tc>
          <w:tcPr>
            <w:tcW w:w="1316" w:type="dxa"/>
            <w:vAlign w:val="center"/>
          </w:tcPr>
          <w:p>
            <w:pPr>
              <w:widowControl/>
              <w:jc w:val="center"/>
              <w:textAlignment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lang w:val="en-US" w:eastAsia="zh-CN"/>
              </w:rPr>
              <w:t>市交投集团</w:t>
            </w:r>
          </w:p>
        </w:tc>
        <w:tc>
          <w:tcPr>
            <w:tcW w:w="626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kern w:val="0"/>
                <w:sz w:val="22"/>
                <w:szCs w:val="22"/>
              </w:rPr>
              <w:t>无意见</w:t>
            </w:r>
          </w:p>
        </w:tc>
        <w:tc>
          <w:tcPr>
            <w:tcW w:w="1776"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4423"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7</w:t>
            </w:r>
          </w:p>
        </w:tc>
        <w:tc>
          <w:tcPr>
            <w:tcW w:w="1316" w:type="dxa"/>
            <w:vAlign w:val="center"/>
          </w:tcPr>
          <w:p>
            <w:pPr>
              <w:widowControl/>
              <w:jc w:val="center"/>
              <w:textAlignment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lang w:val="en-US" w:eastAsia="zh-CN"/>
              </w:rPr>
              <w:t>市国资公司</w:t>
            </w:r>
          </w:p>
        </w:tc>
        <w:tc>
          <w:tcPr>
            <w:tcW w:w="626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kern w:val="0"/>
                <w:sz w:val="22"/>
                <w:szCs w:val="22"/>
              </w:rPr>
              <w:t>无意见</w:t>
            </w:r>
          </w:p>
        </w:tc>
        <w:tc>
          <w:tcPr>
            <w:tcW w:w="1776"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4423"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0"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8</w:t>
            </w:r>
          </w:p>
        </w:tc>
        <w:tc>
          <w:tcPr>
            <w:tcW w:w="1316" w:type="dxa"/>
            <w:vAlign w:val="center"/>
          </w:tcPr>
          <w:p>
            <w:pPr>
              <w:widowControl/>
              <w:jc w:val="center"/>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市金投集团</w:t>
            </w:r>
          </w:p>
        </w:tc>
        <w:tc>
          <w:tcPr>
            <w:tcW w:w="6263" w:type="dxa"/>
            <w:vAlign w:val="center"/>
          </w:tcPr>
          <w:p>
            <w:pPr>
              <w:widowControl/>
              <w:spacing w:line="300" w:lineRule="exact"/>
              <w:jc w:val="center"/>
              <w:textAlignment w:val="center"/>
              <w:rPr>
                <w:rFonts w:hint="eastAsia" w:ascii="仿宋_GB2312" w:hAnsi="仿宋_GB2312" w:eastAsia="仿宋_GB2312" w:cs="仿宋_GB2312"/>
                <w:color w:val="000000"/>
                <w:spacing w:val="-11"/>
                <w:kern w:val="0"/>
                <w:sz w:val="22"/>
                <w:szCs w:val="22"/>
                <w:lang w:val="en-US" w:eastAsia="zh-CN" w:bidi="ar-SA"/>
              </w:rPr>
            </w:pPr>
            <w:r>
              <w:rPr>
                <w:rFonts w:hint="eastAsia" w:ascii="仿宋_GB2312" w:hAnsi="仿宋_GB2312" w:eastAsia="仿宋_GB2312" w:cs="仿宋_GB2312"/>
                <w:color w:val="000000"/>
                <w:spacing w:val="-11"/>
                <w:kern w:val="0"/>
                <w:sz w:val="22"/>
                <w:szCs w:val="22"/>
                <w:lang w:val="en-US" w:eastAsia="zh-CN" w:bidi="ar-SA"/>
              </w:rPr>
              <w:t>无意见</w:t>
            </w:r>
          </w:p>
        </w:tc>
        <w:tc>
          <w:tcPr>
            <w:tcW w:w="1776" w:type="dxa"/>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4423" w:type="dxa"/>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rPr>
            </w:pPr>
          </w:p>
        </w:tc>
      </w:tr>
    </w:tbl>
    <w:p>
      <w:pPr>
        <w:pStyle w:val="16"/>
        <w:ind w:firstLine="0"/>
        <w:rPr>
          <w:rFonts w:eastAsia="仿宋_GB2312" w:cs="仿宋_GB2312"/>
          <w:b w:val="0"/>
          <w:bCs/>
          <w:sz w:val="32"/>
        </w:rPr>
      </w:pPr>
    </w:p>
    <w:sectPr>
      <w:footerReference r:id="rId3" w:type="default"/>
      <w:pgSz w:w="16838" w:h="11906" w:orient="landscape"/>
      <w:pgMar w:top="1531" w:right="1757"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ED"/>
    <w:rsid w:val="002063ED"/>
    <w:rsid w:val="004039BC"/>
    <w:rsid w:val="00647B85"/>
    <w:rsid w:val="007E5C8D"/>
    <w:rsid w:val="008D5439"/>
    <w:rsid w:val="00BF24D7"/>
    <w:rsid w:val="00DC79CF"/>
    <w:rsid w:val="0203557C"/>
    <w:rsid w:val="02592314"/>
    <w:rsid w:val="03255115"/>
    <w:rsid w:val="06581D1C"/>
    <w:rsid w:val="06E04907"/>
    <w:rsid w:val="07256B64"/>
    <w:rsid w:val="09BE205E"/>
    <w:rsid w:val="0B1C0C01"/>
    <w:rsid w:val="0B2C4C40"/>
    <w:rsid w:val="0B331336"/>
    <w:rsid w:val="0B3D16B9"/>
    <w:rsid w:val="0BA501E4"/>
    <w:rsid w:val="0F5549B9"/>
    <w:rsid w:val="0F614805"/>
    <w:rsid w:val="0F6A2A11"/>
    <w:rsid w:val="0FDC4B73"/>
    <w:rsid w:val="100D59E6"/>
    <w:rsid w:val="11015F5B"/>
    <w:rsid w:val="11504FC6"/>
    <w:rsid w:val="116C1377"/>
    <w:rsid w:val="117B27D4"/>
    <w:rsid w:val="11D5533F"/>
    <w:rsid w:val="12626D99"/>
    <w:rsid w:val="129D6A2F"/>
    <w:rsid w:val="12A70A88"/>
    <w:rsid w:val="145F7E4C"/>
    <w:rsid w:val="15C5676E"/>
    <w:rsid w:val="16874F1D"/>
    <w:rsid w:val="17696467"/>
    <w:rsid w:val="18136445"/>
    <w:rsid w:val="1A460EF2"/>
    <w:rsid w:val="1B540009"/>
    <w:rsid w:val="1B6E7AAD"/>
    <w:rsid w:val="1C586111"/>
    <w:rsid w:val="1CDB6778"/>
    <w:rsid w:val="1DA4683E"/>
    <w:rsid w:val="1DC90F65"/>
    <w:rsid w:val="1E2E6A8E"/>
    <w:rsid w:val="1F7C55A0"/>
    <w:rsid w:val="20576327"/>
    <w:rsid w:val="213C7FAE"/>
    <w:rsid w:val="2159742B"/>
    <w:rsid w:val="21D67371"/>
    <w:rsid w:val="21EA0BC3"/>
    <w:rsid w:val="234F6306"/>
    <w:rsid w:val="2392707E"/>
    <w:rsid w:val="241E486B"/>
    <w:rsid w:val="244849B0"/>
    <w:rsid w:val="24BC6B02"/>
    <w:rsid w:val="24E55680"/>
    <w:rsid w:val="26B6291C"/>
    <w:rsid w:val="26D745A2"/>
    <w:rsid w:val="28E53542"/>
    <w:rsid w:val="29433554"/>
    <w:rsid w:val="2B320EE5"/>
    <w:rsid w:val="2E6415AA"/>
    <w:rsid w:val="31980ECE"/>
    <w:rsid w:val="34DA1E03"/>
    <w:rsid w:val="37392C32"/>
    <w:rsid w:val="38532A72"/>
    <w:rsid w:val="38CC453F"/>
    <w:rsid w:val="39654EC2"/>
    <w:rsid w:val="39F668E0"/>
    <w:rsid w:val="3A431241"/>
    <w:rsid w:val="3A6F25E5"/>
    <w:rsid w:val="3AAA122C"/>
    <w:rsid w:val="3C0D160C"/>
    <w:rsid w:val="3C1C3F5F"/>
    <w:rsid w:val="3C5D09F7"/>
    <w:rsid w:val="3CEF121F"/>
    <w:rsid w:val="3DFB0641"/>
    <w:rsid w:val="3F14414D"/>
    <w:rsid w:val="41BC5A10"/>
    <w:rsid w:val="429C1268"/>
    <w:rsid w:val="433E57F0"/>
    <w:rsid w:val="43F64902"/>
    <w:rsid w:val="44F4319D"/>
    <w:rsid w:val="45405F10"/>
    <w:rsid w:val="45C3560D"/>
    <w:rsid w:val="471D22A0"/>
    <w:rsid w:val="478452B1"/>
    <w:rsid w:val="49E402BF"/>
    <w:rsid w:val="49E55D64"/>
    <w:rsid w:val="4A235C0C"/>
    <w:rsid w:val="4A6E1B1A"/>
    <w:rsid w:val="4AB22467"/>
    <w:rsid w:val="50167CEE"/>
    <w:rsid w:val="502E42B8"/>
    <w:rsid w:val="5042335A"/>
    <w:rsid w:val="50502D67"/>
    <w:rsid w:val="520802C3"/>
    <w:rsid w:val="53330E87"/>
    <w:rsid w:val="53FB4F64"/>
    <w:rsid w:val="54580419"/>
    <w:rsid w:val="568C227D"/>
    <w:rsid w:val="571B0243"/>
    <w:rsid w:val="59772BB8"/>
    <w:rsid w:val="59D21DB8"/>
    <w:rsid w:val="5B6E2FF2"/>
    <w:rsid w:val="5E970DF2"/>
    <w:rsid w:val="5EB41F9B"/>
    <w:rsid w:val="5EE65C32"/>
    <w:rsid w:val="602458C3"/>
    <w:rsid w:val="60371B09"/>
    <w:rsid w:val="625F6325"/>
    <w:rsid w:val="635F2BEC"/>
    <w:rsid w:val="647F5200"/>
    <w:rsid w:val="65D45323"/>
    <w:rsid w:val="65D865F2"/>
    <w:rsid w:val="66C3489D"/>
    <w:rsid w:val="67C00F8D"/>
    <w:rsid w:val="69CC3762"/>
    <w:rsid w:val="6A461B38"/>
    <w:rsid w:val="6B4E7232"/>
    <w:rsid w:val="6B67344D"/>
    <w:rsid w:val="6B803A44"/>
    <w:rsid w:val="6C0C3C78"/>
    <w:rsid w:val="6CAB1E4C"/>
    <w:rsid w:val="6CEE63B5"/>
    <w:rsid w:val="6D262A1D"/>
    <w:rsid w:val="6D907974"/>
    <w:rsid w:val="704C4C3A"/>
    <w:rsid w:val="7375164E"/>
    <w:rsid w:val="73D1537F"/>
    <w:rsid w:val="7554484B"/>
    <w:rsid w:val="75CE51F4"/>
    <w:rsid w:val="76A02467"/>
    <w:rsid w:val="76DF3837"/>
    <w:rsid w:val="782A57F8"/>
    <w:rsid w:val="78BD53CB"/>
    <w:rsid w:val="798C2728"/>
    <w:rsid w:val="79A1084C"/>
    <w:rsid w:val="7A7618DB"/>
    <w:rsid w:val="7C434E43"/>
    <w:rsid w:val="7CFB1AC4"/>
    <w:rsid w:val="7E6036C5"/>
    <w:rsid w:val="7E955696"/>
    <w:rsid w:val="7EC3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link w:val="17"/>
    <w:qFormat/>
    <w:uiPriority w:val="99"/>
    <w:pPr>
      <w:keepNext/>
      <w:keepLines/>
      <w:spacing w:before="260" w:after="260" w:line="412"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rFonts w:ascii="Times New Roman" w:hAnsi="Times New Roman" w:eastAsia="宋体" w:cs="Times New Roman"/>
      <w:szCs w:val="20"/>
      <w:lang w:bidi="ar-SA"/>
    </w:rPr>
  </w:style>
  <w:style w:type="paragraph" w:styleId="3">
    <w:name w:val="Body Text Indent"/>
    <w:basedOn w:val="1"/>
    <w:next w:val="1"/>
    <w:qFormat/>
    <w:uiPriority w:val="0"/>
    <w:pPr>
      <w:spacing w:after="120"/>
      <w:ind w:left="200" w:leftChars="200"/>
    </w:pPr>
    <w:rPr>
      <w:kern w:val="0"/>
      <w:sz w:val="20"/>
      <w:szCs w:val="24"/>
    </w:r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paragraph" w:styleId="9">
    <w:name w:val="Normal (Web)"/>
    <w:basedOn w:val="1"/>
    <w:next w:val="5"/>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i/>
    </w:rPr>
  </w:style>
  <w:style w:type="character" w:styleId="15">
    <w:name w:val="footnote reference"/>
    <w:basedOn w:val="13"/>
    <w:qFormat/>
    <w:uiPriority w:val="0"/>
    <w:rPr>
      <w:vertAlign w:val="superscript"/>
    </w:rPr>
  </w:style>
  <w:style w:type="paragraph" w:customStyle="1" w:styleId="16">
    <w:name w:val="标准正文"/>
    <w:basedOn w:val="1"/>
    <w:qFormat/>
    <w:uiPriority w:val="0"/>
    <w:pPr>
      <w:spacing w:line="520" w:lineRule="exact"/>
      <w:ind w:firstLine="643"/>
    </w:pPr>
    <w:rPr>
      <w:rFonts w:ascii="仿宋_GB2312" w:hAnsi="仿宋_GB2312" w:cs="Arial"/>
      <w:b/>
      <w:szCs w:val="32"/>
    </w:rPr>
  </w:style>
  <w:style w:type="character" w:customStyle="1" w:styleId="17">
    <w:name w:val="标题 3 Char"/>
    <w:basedOn w:val="13"/>
    <w:link w:val="4"/>
    <w:qFormat/>
    <w:uiPriority w:val="9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Words>
  <Characters>509</Characters>
  <Lines>4</Lines>
  <Paragraphs>1</Paragraphs>
  <TotalTime>1</TotalTime>
  <ScaleCrop>false</ScaleCrop>
  <LinksUpToDate>false</LinksUpToDate>
  <CharactersWithSpaces>597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2020-02-02T00:05:00Z</dcterms:created>
  <dc:creator>微软用户</dc:creator>
  <cp:lastModifiedBy>Administrator</cp:lastModifiedBy>
  <cp:lastPrinted>2021-06-17T01:33:00Z</cp:lastPrinted>
  <dcterms:modified xsi:type="dcterms:W3CDTF">2021-08-20T08:16:35Z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