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i w:val="0"/>
          <w:caps w:val="0"/>
          <w:color w:val="auto"/>
          <w:spacing w:val="0"/>
          <w:sz w:val="36"/>
          <w:szCs w:val="36"/>
          <w:shd w:val="clear" w:fill="FFFFFF"/>
          <w:lang w:eastAsia="zh-CN"/>
        </w:rPr>
      </w:pPr>
      <w:r>
        <w:rPr>
          <w:rFonts w:hint="eastAsia" w:ascii="黑体" w:hAnsi="黑体" w:eastAsia="黑体" w:cs="黑体"/>
          <w:i w:val="0"/>
          <w:caps w:val="0"/>
          <w:color w:val="auto"/>
          <w:spacing w:val="0"/>
          <w:sz w:val="36"/>
          <w:szCs w:val="36"/>
          <w:shd w:val="clear" w:fill="FFFFFF"/>
        </w:rPr>
        <w:t>咸宁市</w:t>
      </w:r>
      <w:r>
        <w:rPr>
          <w:rFonts w:hint="eastAsia" w:ascii="黑体" w:hAnsi="黑体" w:eastAsia="黑体" w:cs="黑体"/>
          <w:i w:val="0"/>
          <w:caps w:val="0"/>
          <w:color w:val="auto"/>
          <w:spacing w:val="0"/>
          <w:sz w:val="36"/>
          <w:szCs w:val="36"/>
          <w:shd w:val="clear" w:fill="FFFFFF"/>
          <w:lang w:eastAsia="zh-CN"/>
        </w:rPr>
        <w:t>政府国资委</w:t>
      </w:r>
      <w:r>
        <w:rPr>
          <w:rFonts w:hint="eastAsia" w:ascii="黑体" w:hAnsi="黑体" w:eastAsia="黑体" w:cs="黑体"/>
          <w:i w:val="0"/>
          <w:caps w:val="0"/>
          <w:color w:val="auto"/>
          <w:spacing w:val="0"/>
          <w:sz w:val="36"/>
          <w:szCs w:val="36"/>
          <w:shd w:val="clear" w:fill="FFFFFF"/>
        </w:rPr>
        <w:t>202</w:t>
      </w:r>
      <w:r>
        <w:rPr>
          <w:rFonts w:hint="eastAsia" w:ascii="黑体" w:hAnsi="黑体" w:eastAsia="黑体" w:cs="黑体"/>
          <w:i w:val="0"/>
          <w:caps w:val="0"/>
          <w:color w:val="auto"/>
          <w:spacing w:val="0"/>
          <w:sz w:val="36"/>
          <w:szCs w:val="36"/>
          <w:shd w:val="clear" w:fill="FFFFFF"/>
          <w:lang w:val="en-US" w:eastAsia="zh-CN"/>
        </w:rPr>
        <w:t>3</w:t>
      </w:r>
      <w:r>
        <w:rPr>
          <w:rFonts w:hint="eastAsia" w:ascii="黑体" w:hAnsi="黑体" w:eastAsia="黑体" w:cs="黑体"/>
          <w:i w:val="0"/>
          <w:caps w:val="0"/>
          <w:color w:val="auto"/>
          <w:spacing w:val="0"/>
          <w:sz w:val="36"/>
          <w:szCs w:val="36"/>
          <w:shd w:val="clear" w:fill="FFFFFF"/>
        </w:rPr>
        <w:t>年部门预算</w:t>
      </w:r>
      <w:r>
        <w:rPr>
          <w:rFonts w:hint="eastAsia" w:ascii="黑体" w:hAnsi="黑体" w:eastAsia="黑体" w:cs="黑体"/>
          <w:i w:val="0"/>
          <w:caps w:val="0"/>
          <w:color w:val="auto"/>
          <w:spacing w:val="0"/>
          <w:sz w:val="36"/>
          <w:szCs w:val="36"/>
          <w:shd w:val="clear" w:fill="FFFFFF"/>
          <w:lang w:eastAsia="zh-CN"/>
        </w:rPr>
        <w:t>公开说明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_GB2312" w:hAnsi="仿宋_GB2312" w:eastAsia="仿宋_GB2312" w:cs="仿宋_GB2312"/>
          <w:i w:val="0"/>
          <w:caps w:val="0"/>
          <w:color w:val="FF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center"/>
        <w:textAlignment w:val="auto"/>
        <w:rPr>
          <w:rFonts w:hint="eastAsia" w:ascii="黑体" w:hAnsi="黑体" w:eastAsia="黑体" w:cs="黑体"/>
          <w:b/>
          <w:bCs/>
          <w:i w:val="0"/>
          <w:caps w:val="0"/>
          <w:color w:val="auto"/>
          <w:spacing w:val="0"/>
          <w:sz w:val="32"/>
          <w:szCs w:val="32"/>
        </w:rPr>
      </w:pPr>
      <w:r>
        <w:rPr>
          <w:rFonts w:hint="eastAsia" w:ascii="黑体" w:hAnsi="黑体" w:eastAsia="黑体" w:cs="黑体"/>
          <w:b/>
          <w:bCs/>
          <w:i w:val="0"/>
          <w:caps w:val="0"/>
          <w:color w:val="auto"/>
          <w:spacing w:val="0"/>
          <w:sz w:val="32"/>
          <w:szCs w:val="32"/>
          <w:shd w:val="clear" w:fill="FFFFFF"/>
        </w:rPr>
        <w:t>目录</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eastAsia" w:ascii="仿宋_GB2312" w:hAnsi="仿宋_GB2312" w:eastAsia="仿宋_GB2312" w:cs="仿宋_GB2312"/>
          <w:b/>
          <w:bCs/>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第一部分  单位概况</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一、机构设置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二、主要工作职责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color w:val="auto"/>
          <w:lang w:eastAsia="zh-CN"/>
        </w:rPr>
      </w:pPr>
      <w:r>
        <w:rPr>
          <w:rFonts w:hint="eastAsia" w:ascii="仿宋_GB2312" w:hAnsi="仿宋_GB2312" w:eastAsia="仿宋_GB2312" w:cs="仿宋_GB2312"/>
          <w:i w:val="0"/>
          <w:caps w:val="0"/>
          <w:color w:val="auto"/>
          <w:spacing w:val="0"/>
          <w:sz w:val="32"/>
          <w:szCs w:val="32"/>
          <w:shd w:val="clear" w:fill="FFFFFF"/>
        </w:rPr>
        <w:t>三、20</w:t>
      </w:r>
      <w:r>
        <w:rPr>
          <w:rFonts w:hint="eastAsia" w:ascii="仿宋_GB2312" w:hAnsi="仿宋_GB2312" w:eastAsia="仿宋_GB2312" w:cs="仿宋_GB2312"/>
          <w:i w:val="0"/>
          <w:caps w:val="0"/>
          <w:color w:val="auto"/>
          <w:spacing w:val="0"/>
          <w:sz w:val="32"/>
          <w:szCs w:val="32"/>
          <w:shd w:val="clear" w:fill="FFFFFF"/>
          <w:lang w:val="en-US" w:eastAsia="zh-CN"/>
        </w:rPr>
        <w:t>23</w:t>
      </w:r>
      <w:r>
        <w:rPr>
          <w:rFonts w:hint="eastAsia" w:ascii="仿宋_GB2312" w:hAnsi="仿宋_GB2312" w:eastAsia="仿宋_GB2312" w:cs="仿宋_GB2312"/>
          <w:i w:val="0"/>
          <w:caps w:val="0"/>
          <w:color w:val="auto"/>
          <w:spacing w:val="0"/>
          <w:sz w:val="32"/>
          <w:szCs w:val="32"/>
          <w:shd w:val="clear" w:fill="FFFFFF"/>
        </w:rPr>
        <w:t>年</w:t>
      </w:r>
      <w:r>
        <w:rPr>
          <w:rFonts w:hint="eastAsia" w:ascii="仿宋_GB2312" w:hAnsi="仿宋_GB2312" w:eastAsia="仿宋_GB2312" w:cs="仿宋_GB2312"/>
          <w:i w:val="0"/>
          <w:caps w:val="0"/>
          <w:color w:val="auto"/>
          <w:spacing w:val="0"/>
          <w:sz w:val="32"/>
          <w:szCs w:val="32"/>
          <w:shd w:val="clear" w:fill="FFFFFF"/>
          <w:lang w:eastAsia="zh-CN"/>
        </w:rPr>
        <w:t>国资工作计划</w:t>
      </w:r>
    </w:p>
    <w:p>
      <w:pPr>
        <w:pStyle w:val="5"/>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第二部分</w:t>
      </w:r>
      <w:r>
        <w:rPr>
          <w:rFonts w:hint="eastAsia" w:ascii="仿宋_GB2312" w:hAnsi="仿宋_GB2312" w:eastAsia="仿宋_GB2312" w:cs="仿宋_GB2312"/>
          <w:b/>
          <w:bCs/>
          <w:color w:val="auto"/>
          <w:sz w:val="32"/>
          <w:szCs w:val="32"/>
          <w:lang w:val="en-US" w:eastAsia="zh-CN"/>
        </w:rPr>
        <w:t xml:space="preserve">  咸宁市政府国资委</w:t>
      </w:r>
      <w:r>
        <w:rPr>
          <w:rFonts w:hint="eastAsia" w:ascii="仿宋_GB2312" w:hAnsi="仿宋_GB2312" w:eastAsia="仿宋_GB2312" w:cs="仿宋_GB2312"/>
          <w:b/>
          <w:bCs/>
          <w:i w:val="0"/>
          <w:caps w:val="0"/>
          <w:color w:val="auto"/>
          <w:spacing w:val="0"/>
          <w:sz w:val="32"/>
          <w:szCs w:val="32"/>
          <w:shd w:val="clear" w:fill="FFFFFF"/>
        </w:rPr>
        <w:t>202</w:t>
      </w:r>
      <w:r>
        <w:rPr>
          <w:rFonts w:hint="eastAsia" w:ascii="仿宋_GB2312" w:hAnsi="仿宋_GB2312" w:cs="仿宋_GB2312"/>
          <w:b/>
          <w:bCs/>
          <w:i w:val="0"/>
          <w:caps w:val="0"/>
          <w:color w:val="auto"/>
          <w:spacing w:val="0"/>
          <w:sz w:val="32"/>
          <w:szCs w:val="32"/>
          <w:shd w:val="clear" w:fill="FFFFFF"/>
          <w:lang w:val="en-US" w:eastAsia="zh-CN"/>
        </w:rPr>
        <w:t>3</w:t>
      </w:r>
      <w:r>
        <w:rPr>
          <w:rFonts w:hint="eastAsia" w:ascii="仿宋_GB2312" w:hAnsi="仿宋_GB2312" w:eastAsia="仿宋_GB2312" w:cs="仿宋_GB2312"/>
          <w:b/>
          <w:bCs/>
          <w:i w:val="0"/>
          <w:caps w:val="0"/>
          <w:color w:val="auto"/>
          <w:spacing w:val="0"/>
          <w:sz w:val="32"/>
          <w:szCs w:val="32"/>
          <w:shd w:val="clear" w:fill="FFFFFF"/>
        </w:rPr>
        <w:t>年</w:t>
      </w:r>
      <w:r>
        <w:rPr>
          <w:rFonts w:hint="eastAsia" w:ascii="仿宋_GB2312" w:hAnsi="仿宋_GB2312" w:eastAsia="仿宋_GB2312" w:cs="仿宋_GB2312"/>
          <w:b/>
          <w:bCs/>
          <w:i w:val="0"/>
          <w:caps w:val="0"/>
          <w:color w:val="auto"/>
          <w:spacing w:val="0"/>
          <w:sz w:val="32"/>
          <w:szCs w:val="32"/>
          <w:shd w:val="clear" w:fill="FFFFFF"/>
          <w:lang w:eastAsia="zh-CN"/>
        </w:rPr>
        <w:t>部门</w:t>
      </w:r>
      <w:r>
        <w:rPr>
          <w:rFonts w:hint="eastAsia" w:ascii="仿宋_GB2312" w:hAnsi="仿宋_GB2312" w:eastAsia="仿宋_GB2312" w:cs="仿宋_GB2312"/>
          <w:b/>
          <w:bCs/>
          <w:i w:val="0"/>
          <w:caps w:val="0"/>
          <w:color w:val="auto"/>
          <w:spacing w:val="0"/>
          <w:sz w:val="32"/>
          <w:szCs w:val="32"/>
          <w:shd w:val="clear" w:fill="FFFFFF"/>
        </w:rPr>
        <w:t>预算表</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eastAsia="zh-CN"/>
        </w:rPr>
        <w:t>一、</w:t>
      </w:r>
      <w:r>
        <w:rPr>
          <w:rFonts w:hint="eastAsia" w:ascii="仿宋_GB2312" w:hAnsi="仿宋_GB2312" w:eastAsia="仿宋_GB2312" w:cs="仿宋_GB2312"/>
          <w:i w:val="0"/>
          <w:caps w:val="0"/>
          <w:color w:val="auto"/>
          <w:spacing w:val="0"/>
          <w:sz w:val="32"/>
          <w:szCs w:val="32"/>
          <w:shd w:val="clear" w:fill="FFFFFF"/>
        </w:rPr>
        <w:t>部门收支预算总表</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二</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部门收入预算总表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三</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部门支出预算总表（按功能科目到项级）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四</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财政拨款收支总表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五</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一般公共预算支出表（按功能科目到项级）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六</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一般公共预算基本支出表（按经济科目到款级）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七</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一般公共预算“三公”经费支出表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八</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政府性基金预算支出表（按功能科目到项级）</w:t>
      </w:r>
    </w:p>
    <w:p>
      <w:pPr>
        <w:pStyle w:val="5"/>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eastAsia="仿宋_GB2312"/>
          <w:b/>
          <w:bCs/>
          <w:color w:val="auto"/>
          <w:lang w:val="en-US" w:eastAsia="zh-CN"/>
        </w:rPr>
      </w:pPr>
      <w:r>
        <w:rPr>
          <w:rFonts w:hint="eastAsia" w:ascii="仿宋_GB2312" w:hAnsi="仿宋_GB2312" w:cs="仿宋_GB2312"/>
          <w:b/>
          <w:bCs/>
          <w:i w:val="0"/>
          <w:caps w:val="0"/>
          <w:color w:val="auto"/>
          <w:spacing w:val="0"/>
          <w:sz w:val="32"/>
          <w:szCs w:val="32"/>
          <w:shd w:val="clear" w:fill="FFFFFF"/>
          <w:lang w:eastAsia="zh-CN"/>
        </w:rPr>
        <w:t>第三部分</w:t>
      </w:r>
      <w:r>
        <w:rPr>
          <w:rFonts w:hint="eastAsia" w:ascii="仿宋_GB2312" w:hAnsi="仿宋_GB2312" w:cs="仿宋_GB2312"/>
          <w:b/>
          <w:bCs/>
          <w:i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color w:val="auto"/>
          <w:sz w:val="32"/>
          <w:szCs w:val="32"/>
          <w:lang w:val="en-US" w:eastAsia="zh-CN"/>
        </w:rPr>
        <w:t>咸宁市政府国资委</w:t>
      </w:r>
      <w:r>
        <w:rPr>
          <w:rFonts w:hint="eastAsia" w:ascii="仿宋_GB2312" w:hAnsi="仿宋_GB2312" w:eastAsia="仿宋_GB2312" w:cs="仿宋_GB2312"/>
          <w:b/>
          <w:bCs/>
          <w:i w:val="0"/>
          <w:caps w:val="0"/>
          <w:color w:val="auto"/>
          <w:spacing w:val="0"/>
          <w:sz w:val="32"/>
          <w:szCs w:val="32"/>
          <w:shd w:val="clear" w:fill="FFFFFF"/>
        </w:rPr>
        <w:t>202</w:t>
      </w:r>
      <w:r>
        <w:rPr>
          <w:rFonts w:hint="eastAsia" w:ascii="仿宋_GB2312" w:hAnsi="仿宋_GB2312" w:cs="仿宋_GB2312"/>
          <w:b/>
          <w:bCs/>
          <w:i w:val="0"/>
          <w:caps w:val="0"/>
          <w:color w:val="auto"/>
          <w:spacing w:val="0"/>
          <w:sz w:val="32"/>
          <w:szCs w:val="32"/>
          <w:shd w:val="clear" w:fill="FFFFFF"/>
          <w:lang w:val="en-US" w:eastAsia="zh-CN"/>
        </w:rPr>
        <w:t>3</w:t>
      </w:r>
      <w:r>
        <w:rPr>
          <w:rFonts w:hint="eastAsia" w:ascii="仿宋_GB2312" w:hAnsi="仿宋_GB2312" w:eastAsia="仿宋_GB2312" w:cs="仿宋_GB2312"/>
          <w:b/>
          <w:bCs/>
          <w:i w:val="0"/>
          <w:caps w:val="0"/>
          <w:color w:val="auto"/>
          <w:spacing w:val="0"/>
          <w:sz w:val="32"/>
          <w:szCs w:val="32"/>
          <w:shd w:val="clear" w:fill="FFFFFF"/>
        </w:rPr>
        <w:t>年</w:t>
      </w:r>
      <w:r>
        <w:rPr>
          <w:rFonts w:hint="eastAsia" w:ascii="仿宋_GB2312" w:hAnsi="仿宋_GB2312" w:eastAsia="仿宋_GB2312" w:cs="仿宋_GB2312"/>
          <w:b/>
          <w:bCs/>
          <w:i w:val="0"/>
          <w:caps w:val="0"/>
          <w:color w:val="auto"/>
          <w:spacing w:val="0"/>
          <w:sz w:val="32"/>
          <w:szCs w:val="32"/>
          <w:shd w:val="clear" w:fill="FFFFFF"/>
          <w:lang w:eastAsia="zh-CN"/>
        </w:rPr>
        <w:t>部门</w:t>
      </w:r>
      <w:r>
        <w:rPr>
          <w:rFonts w:hint="eastAsia" w:ascii="仿宋_GB2312" w:hAnsi="仿宋_GB2312" w:eastAsia="仿宋_GB2312" w:cs="仿宋_GB2312"/>
          <w:b/>
          <w:bCs/>
          <w:i w:val="0"/>
          <w:caps w:val="0"/>
          <w:color w:val="auto"/>
          <w:spacing w:val="0"/>
          <w:sz w:val="32"/>
          <w:szCs w:val="32"/>
          <w:shd w:val="clear" w:fill="FFFFFF"/>
        </w:rPr>
        <w:t>预算</w:t>
      </w:r>
      <w:r>
        <w:rPr>
          <w:rFonts w:hint="eastAsia" w:ascii="仿宋_GB2312" w:hAnsi="仿宋_GB2312" w:cs="仿宋_GB2312"/>
          <w:b/>
          <w:bCs/>
          <w:i w:val="0"/>
          <w:caps w:val="0"/>
          <w:color w:val="auto"/>
          <w:spacing w:val="0"/>
          <w:sz w:val="32"/>
          <w:szCs w:val="32"/>
          <w:shd w:val="clear" w:fill="FFFFFF"/>
          <w:lang w:eastAsia="zh-CN"/>
        </w:rPr>
        <w:t>编制情况及说明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lang w:eastAsia="zh-CN"/>
        </w:rPr>
        <w:t>一</w:t>
      </w:r>
      <w:r>
        <w:rPr>
          <w:rFonts w:hint="eastAsia" w:ascii="仿宋_GB2312" w:hAnsi="仿宋_GB2312" w:eastAsia="仿宋_GB2312" w:cs="仿宋_GB2312"/>
          <w:i w:val="0"/>
          <w:caps w:val="0"/>
          <w:color w:val="auto"/>
          <w:spacing w:val="0"/>
          <w:sz w:val="32"/>
          <w:szCs w:val="32"/>
          <w:shd w:val="clear" w:fill="FFFFFF"/>
        </w:rPr>
        <w:t>、202</w:t>
      </w: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年部门预算收支简要说明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（一）部门预算收支情况</w:t>
      </w:r>
      <w:r>
        <w:rPr>
          <w:rFonts w:hint="eastAsia" w:ascii="仿宋_GB2312" w:hAnsi="仿宋_GB2312" w:eastAsia="仿宋_GB2312" w:cs="仿宋_GB2312"/>
          <w:i w:val="0"/>
          <w:caps w:val="0"/>
          <w:color w:val="auto"/>
          <w:spacing w:val="0"/>
          <w:sz w:val="32"/>
          <w:szCs w:val="32"/>
          <w:shd w:val="clear" w:fill="FFFFFF"/>
          <w:lang w:eastAsia="zh-CN"/>
        </w:rPr>
        <w:t>及增减变化情况说明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（二）机关运行经费安排及增减变化情况说明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（三）“三公”经费情况说明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lang w:eastAsia="zh-CN"/>
        </w:rPr>
        <w:t>二</w:t>
      </w:r>
      <w:r>
        <w:rPr>
          <w:rFonts w:hint="eastAsia" w:ascii="仿宋_GB2312" w:hAnsi="仿宋_GB2312" w:eastAsia="仿宋_GB2312" w:cs="仿宋_GB2312"/>
          <w:i w:val="0"/>
          <w:caps w:val="0"/>
          <w:color w:val="auto"/>
          <w:spacing w:val="0"/>
          <w:sz w:val="32"/>
          <w:szCs w:val="32"/>
          <w:shd w:val="clear" w:fill="FFFFFF"/>
        </w:rPr>
        <w:t>、政府采购安排情况说明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lang w:eastAsia="zh-CN"/>
        </w:rPr>
        <w:t>三</w:t>
      </w:r>
      <w:r>
        <w:rPr>
          <w:rFonts w:hint="eastAsia" w:ascii="仿宋_GB2312" w:hAnsi="仿宋_GB2312" w:eastAsia="仿宋_GB2312" w:cs="仿宋_GB2312"/>
          <w:i w:val="0"/>
          <w:caps w:val="0"/>
          <w:color w:val="auto"/>
          <w:spacing w:val="0"/>
          <w:sz w:val="32"/>
          <w:szCs w:val="32"/>
          <w:shd w:val="clear" w:fill="FFFFFF"/>
        </w:rPr>
        <w:t>、国有资产占有使用情况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lang w:eastAsia="zh-CN"/>
        </w:rPr>
        <w:t>四</w:t>
      </w:r>
      <w:r>
        <w:rPr>
          <w:rFonts w:hint="eastAsia" w:ascii="仿宋_GB2312" w:hAnsi="仿宋_GB2312" w:eastAsia="仿宋_GB2312" w:cs="仿宋_GB2312"/>
          <w:i w:val="0"/>
          <w:caps w:val="0"/>
          <w:color w:val="auto"/>
          <w:spacing w:val="0"/>
          <w:sz w:val="32"/>
          <w:szCs w:val="32"/>
          <w:shd w:val="clear" w:fill="FFFFFF"/>
        </w:rPr>
        <w:t>、关于202</w:t>
      </w: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年度预算绩效情况的说明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lang w:eastAsia="zh-CN"/>
        </w:rPr>
        <w:t>五</w:t>
      </w:r>
      <w:r>
        <w:rPr>
          <w:rFonts w:hint="eastAsia" w:ascii="仿宋_GB2312" w:hAnsi="仿宋_GB2312" w:eastAsia="仿宋_GB2312" w:cs="仿宋_GB2312"/>
          <w:i w:val="0"/>
          <w:caps w:val="0"/>
          <w:color w:val="auto"/>
          <w:spacing w:val="0"/>
          <w:sz w:val="32"/>
          <w:szCs w:val="32"/>
          <w:shd w:val="clear" w:fill="FFFFFF"/>
        </w:rPr>
        <w:t>、部门政府性基金预算支出情况说明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b/>
          <w:bCs/>
          <w:i w:val="0"/>
          <w:caps w:val="0"/>
          <w:color w:val="auto"/>
          <w:spacing w:val="0"/>
          <w:sz w:val="32"/>
          <w:szCs w:val="32"/>
        </w:rPr>
      </w:pPr>
      <w:r>
        <w:rPr>
          <w:rFonts w:hint="eastAsia" w:ascii="仿宋_GB2312" w:hAnsi="仿宋_GB2312" w:eastAsia="仿宋_GB2312" w:cs="仿宋_GB2312"/>
          <w:b/>
          <w:bCs/>
          <w:i w:val="0"/>
          <w:caps w:val="0"/>
          <w:color w:val="auto"/>
          <w:spacing w:val="0"/>
          <w:sz w:val="32"/>
          <w:szCs w:val="32"/>
          <w:shd w:val="clear" w:fill="FFFFFF"/>
          <w:lang w:eastAsia="zh-CN"/>
        </w:rPr>
        <w:t>第四部分</w:t>
      </w:r>
      <w:r>
        <w:rPr>
          <w:rFonts w:hint="eastAsia" w:ascii="仿宋_GB2312" w:hAnsi="仿宋_GB2312" w:eastAsia="仿宋_GB2312" w:cs="仿宋_GB2312"/>
          <w:b/>
          <w:bCs/>
          <w:i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i w:val="0"/>
          <w:caps w:val="0"/>
          <w:color w:val="auto"/>
          <w:spacing w:val="0"/>
          <w:sz w:val="32"/>
          <w:szCs w:val="32"/>
          <w:shd w:val="clear" w:fill="FFFFFF"/>
        </w:rPr>
        <w:t>名词解释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FF0000"/>
          <w:spacing w:val="0"/>
          <w:sz w:val="32"/>
          <w:szCs w:val="32"/>
          <w:shd w:val="clear" w:fill="FFFFFF"/>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FF0000"/>
          <w:spacing w:val="0"/>
          <w:sz w:val="32"/>
          <w:szCs w:val="32"/>
          <w:shd w:val="clear" w:fill="FFFFFF"/>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FF0000"/>
          <w:spacing w:val="0"/>
          <w:sz w:val="32"/>
          <w:szCs w:val="32"/>
          <w:shd w:val="clear" w:fill="FFFFFF"/>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FF0000"/>
          <w:spacing w:val="0"/>
          <w:sz w:val="32"/>
          <w:szCs w:val="32"/>
          <w:shd w:val="clear" w:fill="FFFFFF"/>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FF0000"/>
          <w:spacing w:val="0"/>
          <w:sz w:val="32"/>
          <w:szCs w:val="32"/>
          <w:shd w:val="clear" w:fill="FFFFFF"/>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FF0000"/>
          <w:spacing w:val="0"/>
          <w:sz w:val="32"/>
          <w:szCs w:val="32"/>
          <w:shd w:val="clear" w:fill="FFFFFF"/>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FF0000"/>
          <w:spacing w:val="0"/>
          <w:sz w:val="32"/>
          <w:szCs w:val="32"/>
          <w:shd w:val="clear" w:fill="FFFFFF"/>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FF0000"/>
          <w:spacing w:val="0"/>
          <w:sz w:val="32"/>
          <w:szCs w:val="32"/>
          <w:shd w:val="clear" w:fill="FFFFFF"/>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FF0000"/>
          <w:spacing w:val="0"/>
          <w:sz w:val="32"/>
          <w:szCs w:val="32"/>
          <w:shd w:val="clear" w:fill="FFFFFF"/>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FF0000"/>
          <w:spacing w:val="0"/>
          <w:sz w:val="32"/>
          <w:szCs w:val="32"/>
          <w:shd w:val="clear" w:fill="FFFFFF"/>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FF0000"/>
          <w:spacing w:val="0"/>
          <w:sz w:val="32"/>
          <w:szCs w:val="32"/>
          <w:shd w:val="clear" w:fill="FFFFFF"/>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FF0000"/>
          <w:spacing w:val="0"/>
          <w:sz w:val="32"/>
          <w:szCs w:val="32"/>
          <w:shd w:val="clear" w:fill="FFFFFF"/>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FF0000"/>
          <w:spacing w:val="0"/>
          <w:sz w:val="32"/>
          <w:szCs w:val="32"/>
          <w:shd w:val="clear" w:fill="FFFFFF"/>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FF0000"/>
          <w:spacing w:val="0"/>
          <w:sz w:val="32"/>
          <w:szCs w:val="32"/>
          <w:shd w:val="clear" w:fill="FFFFFF"/>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FF0000"/>
          <w:spacing w:val="0"/>
          <w:sz w:val="32"/>
          <w:szCs w:val="32"/>
          <w:shd w:val="clear" w:fill="FFFFFF"/>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FF0000"/>
          <w:spacing w:val="0"/>
          <w:sz w:val="32"/>
          <w:szCs w:val="32"/>
          <w:shd w:val="clear" w:fill="FFFFFF"/>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FF0000"/>
          <w:spacing w:val="0"/>
          <w:sz w:val="32"/>
          <w:szCs w:val="32"/>
          <w:shd w:val="clear" w:fill="FFFFFF"/>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FF0000"/>
          <w:spacing w:val="0"/>
          <w:sz w:val="32"/>
          <w:szCs w:val="32"/>
          <w:shd w:val="clear" w:fill="FFFFFF"/>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FF0000"/>
          <w:spacing w:val="0"/>
          <w:sz w:val="32"/>
          <w:szCs w:val="32"/>
          <w:shd w:val="clear" w:fill="FFFFFF"/>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FF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FF0000"/>
          <w:spacing w:val="0"/>
          <w:sz w:val="32"/>
          <w:szCs w:val="32"/>
          <w:shd w:val="clear" w:fill="FFFFFF"/>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黑体" w:hAnsi="黑体" w:eastAsia="黑体" w:cs="黑体"/>
          <w:b w:val="0"/>
          <w:bCs w:val="0"/>
          <w:i w:val="0"/>
          <w:caps w:val="0"/>
          <w:color w:val="auto"/>
          <w:spacing w:val="0"/>
          <w:sz w:val="36"/>
          <w:szCs w:val="36"/>
          <w:shd w:val="clear" w:fill="FFFFFF"/>
          <w:lang w:val="en-US" w:eastAsia="zh-CN"/>
        </w:rPr>
      </w:pPr>
      <w:r>
        <w:rPr>
          <w:rFonts w:hint="eastAsia" w:ascii="黑体" w:hAnsi="黑体" w:eastAsia="黑体" w:cs="黑体"/>
          <w:b w:val="0"/>
          <w:bCs w:val="0"/>
          <w:i w:val="0"/>
          <w:caps w:val="0"/>
          <w:color w:val="auto"/>
          <w:spacing w:val="0"/>
          <w:sz w:val="36"/>
          <w:szCs w:val="36"/>
          <w:shd w:val="clear" w:fill="FFFFFF"/>
          <w:lang w:val="en-US" w:eastAsia="zh-CN"/>
        </w:rPr>
        <w:t>第一部分  单位概况</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color w:val="auto"/>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根据咸宁市财政局《市财政局关于批复202</w:t>
      </w: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年部门预算的通知》（咸财预函[202</w:t>
      </w: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val="en-US" w:eastAsia="zh-CN"/>
        </w:rPr>
        <w:t>1</w:t>
      </w:r>
      <w:r>
        <w:rPr>
          <w:rFonts w:hint="eastAsia" w:ascii="仿宋_GB2312" w:hAnsi="仿宋_GB2312" w:eastAsia="仿宋_GB2312" w:cs="仿宋_GB2312"/>
          <w:i w:val="0"/>
          <w:caps w:val="0"/>
          <w:color w:val="auto"/>
          <w:spacing w:val="0"/>
          <w:sz w:val="32"/>
          <w:szCs w:val="32"/>
          <w:shd w:val="clear" w:fill="FFFFFF"/>
        </w:rPr>
        <w:t>号）的要求，现将咸宁市</w:t>
      </w:r>
      <w:r>
        <w:rPr>
          <w:rFonts w:hint="eastAsia" w:ascii="仿宋_GB2312" w:hAnsi="仿宋_GB2312" w:eastAsia="仿宋_GB2312" w:cs="仿宋_GB2312"/>
          <w:i w:val="0"/>
          <w:caps w:val="0"/>
          <w:color w:val="auto"/>
          <w:spacing w:val="0"/>
          <w:sz w:val="32"/>
          <w:szCs w:val="32"/>
          <w:shd w:val="clear" w:fill="FFFFFF"/>
          <w:lang w:eastAsia="zh-CN"/>
        </w:rPr>
        <w:t>政府</w:t>
      </w:r>
      <w:r>
        <w:rPr>
          <w:rFonts w:hint="eastAsia" w:ascii="仿宋_GB2312" w:hAnsi="仿宋_GB2312" w:eastAsia="仿宋_GB2312" w:cs="仿宋_GB2312"/>
          <w:i w:val="0"/>
          <w:caps w:val="0"/>
          <w:color w:val="auto"/>
          <w:spacing w:val="0"/>
          <w:sz w:val="32"/>
          <w:szCs w:val="32"/>
          <w:shd w:val="clear" w:fill="FFFFFF"/>
        </w:rPr>
        <w:t>国资委部门预算信息情况说明如下：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shd w:val="clear" w:fill="FFFFFF"/>
        </w:rPr>
        <w:t>一、机构设置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市人民政府国有资产监督管理委员会内设机构包括：办公室（人事科）、财务监督与考评分配科（审计科）、产权管理科、党群工作科、政策法规与综合发展科（招商与投资促进科）、改革改组科。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人员编制情况：机关行政编制为21名。其中：主任1名，副主任3名；正科级领导职数7名（含总经济师1名），副科级领导职数2名。退休人员</w:t>
      </w:r>
      <w:r>
        <w:rPr>
          <w:rFonts w:hint="eastAsia" w:ascii="仿宋_GB2312" w:hAnsi="仿宋_GB2312" w:eastAsia="仿宋_GB2312" w:cs="仿宋_GB2312"/>
          <w:i w:val="0"/>
          <w:caps w:val="0"/>
          <w:color w:val="auto"/>
          <w:spacing w:val="0"/>
          <w:sz w:val="32"/>
          <w:szCs w:val="32"/>
          <w:shd w:val="clear" w:fill="FFFFFF"/>
          <w:lang w:val="en-US" w:eastAsia="zh-CN"/>
        </w:rPr>
        <w:t>19</w:t>
      </w:r>
      <w:r>
        <w:rPr>
          <w:rFonts w:hint="eastAsia" w:ascii="仿宋_GB2312" w:hAnsi="仿宋_GB2312" w:eastAsia="仿宋_GB2312" w:cs="仿宋_GB2312"/>
          <w:i w:val="0"/>
          <w:caps w:val="0"/>
          <w:color w:val="auto"/>
          <w:spacing w:val="0"/>
          <w:sz w:val="32"/>
          <w:szCs w:val="32"/>
          <w:shd w:val="clear" w:fill="FFFFFF"/>
        </w:rPr>
        <w:t>名，机关遗属补助人员</w:t>
      </w:r>
      <w:r>
        <w:rPr>
          <w:rFonts w:hint="eastAsia" w:ascii="仿宋_GB2312" w:hAnsi="仿宋_GB2312" w:eastAsia="仿宋_GB2312" w:cs="仿宋_GB2312"/>
          <w:i w:val="0"/>
          <w:caps w:val="0"/>
          <w:color w:val="auto"/>
          <w:spacing w:val="0"/>
          <w:sz w:val="32"/>
          <w:szCs w:val="32"/>
          <w:shd w:val="clear" w:fill="FFFFFF"/>
          <w:lang w:val="en-US" w:eastAsia="zh-CN"/>
        </w:rPr>
        <w:t>1</w:t>
      </w:r>
      <w:r>
        <w:rPr>
          <w:rFonts w:hint="eastAsia" w:ascii="仿宋_GB2312" w:hAnsi="仿宋_GB2312" w:eastAsia="仿宋_GB2312" w:cs="仿宋_GB2312"/>
          <w:i w:val="0"/>
          <w:caps w:val="0"/>
          <w:color w:val="auto"/>
          <w:spacing w:val="0"/>
          <w:sz w:val="32"/>
          <w:szCs w:val="32"/>
          <w:shd w:val="clear" w:fill="FFFFFF"/>
        </w:rPr>
        <w:t>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根据《关于成立咸宁市国有资产管理中心的批复》（咸机编【2005】52号）文件精神，市国有资产管理中心为我委为我委下属的公益一类事业单位（副县级），内设综合科，计划财务科，资产经营科；事业编制1</w:t>
      </w:r>
      <w:r>
        <w:rPr>
          <w:rFonts w:hint="eastAsia" w:ascii="仿宋_GB2312" w:hAnsi="仿宋_GB2312" w:eastAsia="仿宋_GB2312" w:cs="仿宋_GB2312"/>
          <w:i w:val="0"/>
          <w:caps w:val="0"/>
          <w:color w:val="auto"/>
          <w:spacing w:val="0"/>
          <w:sz w:val="32"/>
          <w:szCs w:val="32"/>
          <w:shd w:val="clear" w:fill="FFFFFF"/>
          <w:lang w:val="en-US" w:eastAsia="zh-CN"/>
        </w:rPr>
        <w:t>4</w:t>
      </w:r>
      <w:r>
        <w:rPr>
          <w:rFonts w:hint="eastAsia" w:ascii="仿宋_GB2312" w:hAnsi="仿宋_GB2312" w:eastAsia="仿宋_GB2312" w:cs="仿宋_GB2312"/>
          <w:i w:val="0"/>
          <w:caps w:val="0"/>
          <w:color w:val="auto"/>
          <w:spacing w:val="0"/>
          <w:sz w:val="32"/>
          <w:szCs w:val="32"/>
          <w:shd w:val="clear" w:fill="FFFFFF"/>
        </w:rPr>
        <w:t>名，主任1名，副主任2名（正科级），副科级领导职数3名。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shd w:val="clear" w:fill="FFFFFF"/>
        </w:rPr>
        <w:t>二、主要工作职责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根据《咸宁市人民政府国有资产监督管理委员会主要职责内设机构和人员编制规定》（咸政办发〔2010〕97号）市国资委主要工作职责如下：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一）根据市政府授权，依照《中华人民共和国公司法》、《中华人民共和国企业国有资产法》和《企业国有资产监督管理暂行条例》等法律和行政法规履行出资人职责，监管市级国有资产，加强国有资产的管理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二）承担监督所监管企业国有资产保值增值的责任。建立和完善国有资产保值增值指标体系，维护国有资产出资人的权益。制定所监管企业负责人经营业绩考核办法并组织年度和任期的业绩考核，通过统计、稽核对所监管企业国有资产的保值增值情况进行监管，负责所监管企业工资分配管理工作，制定所监管企业负责人收入分配政策并组织实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（三）指导推进全市国有企业改革和重组，推进全市国有企业的现代企业制度建设，完善公司治理结构，推动全市国有经济结构和布局的战略性调整。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四）按照市委、市政府有关规定，管理国有企业领导班子建设。通过法定程序对所监管企业负责人进行任免、考核并根据其经营业绩进行奖惩，建立符合社会主义市场经济体制和现代企业制度要求的选人用人机制，完善经营者激励和约束制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（五）负责向所监管企业委派外部董事、监事会成员，按照有关规定，代表市政府向所监管企业派出监事会，负责外部董事、监事会的日常管理工作。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六）研究拟订国有股权管理办法，负责组织所监管企业上交国有资本收益，参与制定国有资本经营预算有关管理制度和办法，按照有关规定编制所监管企业国有资本经营预决算草案报市财政局汇总，并负责执行。负责企业国有资产产权界定、登记、划转、处置和产权纠纷调处工作。负责审定国有产权交易机构，加强对全市国有产权交易的监督和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（七）按照出资人职责，负责督促检查所监管企业贯彻落实国家安全生产、节能减排、信访维稳方针政策及有关法律法规、标准等工作。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（八）负责企业国有资产基础管理，贯彻落实国有资产管理的法律法规，拟订有关地方性管理制度；指导企业法律顾问工作；依法对县（市、区）级国有资产管理工作进行指导和监督。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（九）负责党的关系归口市国资委党委管理的中央、省在咸企业和所监管企业党的建设、群团工作。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（十）协助管理党的关系归口市国资委党委管理的中央、省在咸企业和所监管企业领导班子建设。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（十一）协助市纪委抓好党的关系归口市国资委党委管理的中央、省在咸企业以及所监管企业的纪检监察工作。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（十二）为规模以上企业提供“直通车”服务。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（十三）承办上级交办的其他事项。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根据《咸宁市机构改革方案》规定，国有企业领导干部经济责任审计和市国有企业监事会的职责划入市审计局。不再保留市国有企业监事会。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根据市委办公室、市政府办公室《关于调整咸宁市人民政府国有资产监督管理委员会机构编制的通知》（咸办文〔2019〕48号），对市政府国有资产监督管理委员会工作职责作以下调整：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1.市政府国有资产监督管理委员会国有企业领导干部经济责任和市国有企业监事会职责，划入市审计局。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2.市国有资产管理中心行政职能回归市政府国有资产监督管理委员会机关。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3.增加负责本行业（领域）招商和投资促进相关工作。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4.增加履行本行业（领域）安全生产监督管理职责。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根据咸政办发[2005]54号、咸机编[2005]52号精神，核定市国有资产管理中心主要职责如下: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1.根据授权,管理经营国有及国有控股、参股公司的国有资产，管理经营市直行政事业单位投资的企业或者经济实体的国有资产；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2.受市政府委托，管理和处置市直脱钧改制企业待处置的国有资产；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3.收购并处置市属国有企业在商业银行、金融资产管理公司的债务，托管、清收并处置市属国有企业剥离后的不良资产；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4.从事非金融性投资、项目融资等资本营运业务，通过入股、合作、融资或吸收民间资本，多途径多渠道盘活市级国有资产存量；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5.承办上级交办的其他事项。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i w:val="0"/>
          <w:caps w:val="0"/>
          <w:color w:val="auto"/>
          <w:spacing w:val="0"/>
          <w:sz w:val="32"/>
          <w:szCs w:val="32"/>
          <w:shd w:val="clear" w:fill="FFFFFF"/>
        </w:rPr>
        <w:t>三、20</w:t>
      </w:r>
      <w:r>
        <w:rPr>
          <w:rFonts w:hint="eastAsia" w:ascii="黑体" w:hAnsi="黑体" w:eastAsia="黑体" w:cs="黑体"/>
          <w:b w:val="0"/>
          <w:bCs w:val="0"/>
          <w:i w:val="0"/>
          <w:caps w:val="0"/>
          <w:color w:val="auto"/>
          <w:spacing w:val="0"/>
          <w:sz w:val="32"/>
          <w:szCs w:val="32"/>
          <w:shd w:val="clear" w:fill="FFFFFF"/>
          <w:lang w:val="en-US" w:eastAsia="zh-CN"/>
        </w:rPr>
        <w:t>23</w:t>
      </w:r>
      <w:r>
        <w:rPr>
          <w:rFonts w:hint="eastAsia" w:ascii="黑体" w:hAnsi="黑体" w:eastAsia="黑体" w:cs="黑体"/>
          <w:b w:val="0"/>
          <w:bCs w:val="0"/>
          <w:i w:val="0"/>
          <w:caps w:val="0"/>
          <w:color w:val="auto"/>
          <w:spacing w:val="0"/>
          <w:sz w:val="32"/>
          <w:szCs w:val="32"/>
          <w:shd w:val="clear" w:fill="FFFFFF"/>
        </w:rPr>
        <w:t>年</w:t>
      </w:r>
      <w:r>
        <w:rPr>
          <w:rFonts w:hint="eastAsia" w:ascii="黑体" w:hAnsi="黑体" w:eastAsia="黑体" w:cs="黑体"/>
          <w:b w:val="0"/>
          <w:bCs w:val="0"/>
          <w:i w:val="0"/>
          <w:caps w:val="0"/>
          <w:color w:val="auto"/>
          <w:spacing w:val="0"/>
          <w:sz w:val="32"/>
          <w:szCs w:val="32"/>
          <w:shd w:val="clear" w:fill="FFFFFF"/>
          <w:lang w:eastAsia="zh-CN"/>
        </w:rPr>
        <w:t>国资工作计划</w:t>
      </w:r>
    </w:p>
    <w:p>
      <w:pPr>
        <w:pStyle w:val="13"/>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楷体-GB2312" w:hAnsi="CESI楷体-GB2312" w:eastAsia="CESI楷体-GB2312" w:cs="CESI楷体-GB2312"/>
          <w:b/>
          <w:bCs/>
          <w:kern w:val="2"/>
          <w:sz w:val="32"/>
          <w:szCs w:val="32"/>
          <w:lang w:val="en-US" w:eastAsia="zh-CN" w:bidi="ar-SA"/>
        </w:rPr>
      </w:pPr>
      <w:r>
        <w:rPr>
          <w:rFonts w:hint="eastAsia" w:ascii="CESI楷体-GB2312" w:hAnsi="CESI楷体-GB2312" w:eastAsia="CESI楷体-GB2312" w:cs="CESI楷体-GB2312"/>
          <w:b/>
          <w:bCs/>
          <w:kern w:val="2"/>
          <w:sz w:val="32"/>
          <w:szCs w:val="32"/>
          <w:lang w:val="en-US" w:eastAsia="zh-CN" w:bidi="ar-SA"/>
        </w:rPr>
        <w:t>（一）深化国企改革强竞争力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b/>
          <w:bCs w:val="0"/>
          <w:color w:val="auto"/>
          <w:sz w:val="32"/>
          <w:szCs w:val="32"/>
          <w:shd w:val="clear" w:color="auto" w:fill="FFFFFF"/>
          <w:lang w:val="en-US" w:eastAsia="zh-CN"/>
        </w:rPr>
        <w:t>一是</w:t>
      </w:r>
      <w:r>
        <w:rPr>
          <w:rFonts w:hint="eastAsia" w:ascii="仿宋_GB2312" w:hAnsi="仿宋_GB2312" w:eastAsia="仿宋_GB2312" w:cs="仿宋_GB2312"/>
          <w:b/>
          <w:bCs w:val="0"/>
          <w:color w:val="auto"/>
          <w:sz w:val="32"/>
          <w:szCs w:val="32"/>
          <w:shd w:val="clear" w:color="auto" w:fill="FFFFFF"/>
          <w:lang w:val="zh-CN" w:eastAsia="zh-CN"/>
        </w:rPr>
        <w:t>聚焦主责主业，</w:t>
      </w:r>
      <w:r>
        <w:rPr>
          <w:rFonts w:hint="eastAsia" w:ascii="仿宋_GB2312" w:hAnsi="仿宋_GB2312" w:eastAsia="仿宋_GB2312" w:cs="仿宋_GB2312"/>
          <w:b/>
          <w:bCs w:val="0"/>
          <w:color w:val="auto"/>
          <w:sz w:val="32"/>
          <w:szCs w:val="32"/>
          <w:shd w:val="clear" w:color="auto" w:fill="FFFFFF"/>
          <w:lang w:val="en-US" w:eastAsia="zh-CN"/>
        </w:rPr>
        <w:t>稳固改革成效。</w:t>
      </w:r>
      <w:r>
        <w:rPr>
          <w:rFonts w:hint="eastAsia" w:ascii="仿宋_GB2312" w:hAnsi="仿宋_GB2312" w:eastAsia="仿宋_GB2312" w:cs="仿宋_GB2312"/>
          <w:b w:val="0"/>
          <w:bCs/>
          <w:color w:val="auto"/>
          <w:sz w:val="32"/>
          <w:szCs w:val="32"/>
          <w:shd w:val="clear" w:color="auto" w:fill="FFFFFF"/>
          <w:lang w:val="en-US" w:eastAsia="zh-CN"/>
        </w:rPr>
        <w:t>实施国有企业高质量发展五年行动（2023-2028），</w:t>
      </w:r>
      <w:r>
        <w:rPr>
          <w:rFonts w:hint="eastAsia" w:ascii="仿宋_GB2312" w:hAnsi="仿宋_GB2312" w:eastAsia="仿宋_GB2312" w:cs="仿宋_GB2312"/>
          <w:b w:val="0"/>
          <w:bCs/>
          <w:color w:val="auto"/>
          <w:sz w:val="32"/>
          <w:szCs w:val="32"/>
          <w:lang w:val="en-US" w:eastAsia="zh-CN"/>
        </w:rPr>
        <w:t>持续</w:t>
      </w:r>
      <w:r>
        <w:rPr>
          <w:rFonts w:hint="eastAsia" w:ascii="仿宋_GB2312" w:hAnsi="仿宋_GB2312" w:eastAsia="仿宋_GB2312" w:cs="仿宋_GB2312"/>
          <w:kern w:val="0"/>
          <w:sz w:val="32"/>
          <w:szCs w:val="32"/>
          <w:highlight w:val="none"/>
          <w:lang w:val="zh-CN" w:eastAsia="zh-CN" w:bidi="zh-CN"/>
        </w:rPr>
        <w:t>聚焦主责主业，</w:t>
      </w:r>
      <w:r>
        <w:rPr>
          <w:rFonts w:hint="eastAsia" w:ascii="仿宋_GB2312" w:hAnsi="仿宋_GB2312" w:eastAsia="仿宋_GB2312" w:cs="仿宋_GB2312"/>
          <w:b w:val="0"/>
          <w:bCs w:val="0"/>
          <w:kern w:val="0"/>
          <w:sz w:val="32"/>
          <w:szCs w:val="32"/>
          <w:highlight w:val="none"/>
          <w:lang w:val="zh-CN" w:eastAsia="zh-CN" w:bidi="zh-CN"/>
        </w:rPr>
        <w:t>支持两家集团公司做</w:t>
      </w:r>
      <w:r>
        <w:rPr>
          <w:rFonts w:hint="eastAsia" w:ascii="仿宋_GB2312" w:hAnsi="仿宋_GB2312" w:eastAsia="仿宋_GB2312" w:cs="仿宋_GB2312"/>
          <w:kern w:val="0"/>
          <w:sz w:val="32"/>
          <w:szCs w:val="32"/>
          <w:highlight w:val="none"/>
          <w:lang w:val="zh-CN" w:eastAsia="zh-CN" w:bidi="zh-CN"/>
        </w:rPr>
        <w:t>大资产、做强业务、盘活资金；</w:t>
      </w:r>
      <w:r>
        <w:rPr>
          <w:rFonts w:hint="eastAsia" w:ascii="仿宋_GB2312" w:hAnsi="仿宋_GB2312" w:eastAsia="仿宋_GB2312" w:cs="仿宋_GB2312"/>
          <w:color w:val="000000"/>
          <w:kern w:val="2"/>
          <w:sz w:val="32"/>
          <w:szCs w:val="32"/>
          <w:highlight w:val="none"/>
          <w:lang w:val="en-US" w:eastAsia="zh-CN" w:bidi="ar-SA"/>
        </w:rPr>
        <w:t>加大招商引资工作力度，做好央企合作项目建设协调服务。</w:t>
      </w:r>
      <w:r>
        <w:rPr>
          <w:rFonts w:hint="eastAsia" w:ascii="仿宋_GB2312" w:hAnsi="仿宋_GB2312" w:eastAsia="仿宋_GB2312" w:cs="仿宋_GB2312"/>
          <w:b/>
          <w:bCs w:val="0"/>
          <w:color w:val="auto"/>
          <w:sz w:val="32"/>
          <w:szCs w:val="32"/>
          <w:shd w:val="clear" w:color="auto" w:fill="FFFFFF"/>
          <w:lang w:val="en-US" w:eastAsia="zh-CN"/>
        </w:rPr>
        <w:t>二是</w:t>
      </w:r>
      <w:r>
        <w:rPr>
          <w:rFonts w:hint="eastAsia" w:ascii="仿宋_GB2312" w:hAnsi="仿宋_GB2312" w:eastAsia="仿宋_GB2312" w:cs="仿宋_GB2312"/>
          <w:b/>
          <w:bCs w:val="0"/>
          <w:color w:val="auto"/>
          <w:sz w:val="32"/>
          <w:szCs w:val="32"/>
          <w:shd w:val="clear" w:color="auto" w:fill="FFFFFF"/>
          <w:lang w:val="zh-CN" w:eastAsia="zh-CN"/>
        </w:rPr>
        <w:t>推动优化整合，</w:t>
      </w:r>
      <w:r>
        <w:rPr>
          <w:rFonts w:hint="eastAsia" w:ascii="仿宋_GB2312" w:hAnsi="仿宋_GB2312" w:eastAsia="仿宋_GB2312" w:cs="仿宋_GB2312"/>
          <w:b/>
          <w:bCs w:val="0"/>
          <w:color w:val="auto"/>
          <w:sz w:val="32"/>
          <w:szCs w:val="32"/>
          <w:shd w:val="clear" w:color="auto" w:fill="FFFFFF"/>
          <w:lang w:val="en-US" w:eastAsia="zh-CN"/>
        </w:rPr>
        <w:t>调动企业积极性。</w:t>
      </w:r>
      <w:r>
        <w:rPr>
          <w:rFonts w:hint="eastAsia" w:ascii="仿宋_GB2312" w:hAnsi="仿宋_GB2312" w:eastAsia="仿宋_GB2312" w:cs="仿宋_GB2312"/>
          <w:color w:val="000000"/>
          <w:sz w:val="32"/>
          <w:szCs w:val="32"/>
          <w:highlight w:val="none"/>
          <w:lang w:val="en-US" w:eastAsia="zh-CN"/>
        </w:rPr>
        <w:t>建立既有激励又有约束、既讲效率又讲公平，与劳动力市场基本适应、与国有企业经济效益和劳动生产率挂钩的工资决定和正常增长机制。</w:t>
      </w:r>
      <w:r>
        <w:rPr>
          <w:rFonts w:hint="eastAsia" w:ascii="仿宋_GB2312" w:hAnsi="仿宋_GB2312" w:eastAsia="仿宋_GB2312" w:cs="仿宋_GB2312"/>
          <w:b/>
          <w:bCs w:val="0"/>
          <w:color w:val="auto"/>
          <w:sz w:val="32"/>
          <w:szCs w:val="32"/>
          <w:shd w:val="clear" w:color="auto" w:fill="FFFFFF"/>
          <w:lang w:val="en-US" w:eastAsia="zh-CN"/>
        </w:rPr>
        <w:t>三是防范化解风险，健全国资监管体系。</w:t>
      </w:r>
      <w:r>
        <w:rPr>
          <w:rFonts w:hint="eastAsia" w:ascii="仿宋_GB2312" w:hAnsi="仿宋_GB2312" w:eastAsia="仿宋_GB2312" w:cs="仿宋_GB2312"/>
          <w:b w:val="0"/>
          <w:bCs/>
          <w:color w:val="auto"/>
          <w:sz w:val="32"/>
          <w:szCs w:val="32"/>
          <w:lang w:val="en-US" w:eastAsia="zh-CN"/>
        </w:rPr>
        <w:t>加快构建相关监管机制和考评激励机制。</w:t>
      </w:r>
      <w:r>
        <w:rPr>
          <w:rFonts w:hint="eastAsia" w:ascii="仿宋_GB2312" w:hAnsi="仿宋_GB2312" w:eastAsia="仿宋_GB2312" w:cs="仿宋_GB2312"/>
          <w:color w:val="000000"/>
          <w:sz w:val="32"/>
          <w:szCs w:val="32"/>
          <w:highlight w:val="none"/>
          <w:lang w:val="en-US" w:eastAsia="zh-CN"/>
        </w:rPr>
        <w:t>把“三降一清”作为督导企业控负减债的硬抓手，</w:t>
      </w:r>
      <w:r>
        <w:rPr>
          <w:rFonts w:hint="eastAsia" w:ascii="仿宋_GB2312" w:hAnsi="仿宋_GB2312" w:eastAsia="仿宋_GB2312" w:cs="仿宋_GB2312"/>
          <w:color w:val="0D0D0D"/>
          <w:kern w:val="0"/>
          <w:sz w:val="32"/>
          <w:szCs w:val="32"/>
          <w:highlight w:val="none"/>
          <w:lang w:eastAsia="zh-CN"/>
        </w:rPr>
        <w:t>硬化工资总额管控措施，压缩不合理用工支出</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sz w:val="32"/>
          <w:szCs w:val="32"/>
          <w:highlight w:val="none"/>
          <w:lang w:val="en-US" w:eastAsia="zh-CN"/>
        </w:rPr>
        <w:t>完善企业内部审计制度。</w:t>
      </w:r>
      <w:r>
        <w:rPr>
          <w:rFonts w:hint="eastAsia" w:ascii="仿宋_GB2312" w:hAnsi="仿宋_GB2312" w:eastAsia="仿宋_GB2312" w:cs="仿宋_GB2312"/>
          <w:b/>
          <w:bCs w:val="0"/>
          <w:color w:val="auto"/>
          <w:sz w:val="32"/>
          <w:szCs w:val="32"/>
          <w:shd w:val="clear" w:color="auto" w:fill="FFFFFF"/>
          <w:lang w:val="en-US" w:eastAsia="zh-CN"/>
        </w:rPr>
        <w:t>四是</w:t>
      </w:r>
      <w:r>
        <w:rPr>
          <w:rFonts w:hint="eastAsia" w:ascii="仿宋_GB2312" w:hAnsi="仿宋_GB2312" w:eastAsia="仿宋_GB2312" w:cs="仿宋_GB2312"/>
          <w:b/>
          <w:bCs w:val="0"/>
          <w:color w:val="auto"/>
          <w:sz w:val="32"/>
          <w:szCs w:val="32"/>
          <w:shd w:val="clear" w:color="auto" w:fill="FFFFFF"/>
          <w:lang w:val="zh-CN" w:eastAsia="zh-CN"/>
        </w:rPr>
        <w:t>深入实施三项制度改革。</w:t>
      </w:r>
      <w:r>
        <w:rPr>
          <w:rFonts w:hint="eastAsia" w:ascii="仿宋_GB2312" w:hAnsi="仿宋_GB2312" w:eastAsia="仿宋_GB2312" w:cs="仿宋_GB2312"/>
          <w:kern w:val="2"/>
          <w:sz w:val="32"/>
          <w:szCs w:val="32"/>
          <w:highlight w:val="none"/>
          <w:lang w:val="en-US" w:eastAsia="zh-CN" w:bidi="ar-SA"/>
        </w:rPr>
        <w:t>深化劳动人事分配制度改革，打破铁帽子和铁饭碗观念,干部要能上能下、工资要能增能减、人员要能进能出。</w:t>
      </w:r>
      <w:r>
        <w:rPr>
          <w:rFonts w:hint="eastAsia" w:ascii="仿宋_GB2312" w:hAnsi="仿宋_GB2312" w:eastAsia="仿宋_GB2312" w:cs="仿宋_GB2312"/>
          <w:b/>
          <w:bCs w:val="0"/>
          <w:color w:val="auto"/>
          <w:sz w:val="32"/>
          <w:szCs w:val="32"/>
          <w:shd w:val="clear" w:color="auto" w:fill="FFFFFF"/>
          <w:lang w:val="zh-CN" w:eastAsia="zh-CN"/>
        </w:rPr>
        <w:t>五是推动任期制和契约化管理全覆盖。</w:t>
      </w:r>
      <w:r>
        <w:rPr>
          <w:rFonts w:hint="eastAsia" w:ascii="仿宋_GB2312" w:hAnsi="仿宋_GB2312" w:eastAsia="仿宋_GB2312" w:cs="仿宋_GB2312"/>
          <w:sz w:val="32"/>
          <w:szCs w:val="32"/>
          <w:highlight w:val="none"/>
          <w:lang w:val="en-US" w:eastAsia="zh-CN"/>
        </w:rPr>
        <w:t>严格落实国有企业负责人任期制和契约化管理，</w:t>
      </w:r>
      <w:r>
        <w:rPr>
          <w:rFonts w:hint="eastAsia" w:ascii="仿宋_GB2312" w:hAnsi="仿宋_GB2312" w:eastAsia="仿宋_GB2312" w:cs="仿宋_GB2312"/>
          <w:b w:val="0"/>
          <w:bCs w:val="0"/>
          <w:kern w:val="2"/>
          <w:sz w:val="32"/>
          <w:szCs w:val="32"/>
          <w:highlight w:val="none"/>
          <w:lang w:val="en-US" w:eastAsia="zh-CN" w:bidi="ar-SA"/>
        </w:rPr>
        <w:t>树立位置谁来干、契约说了算，薪酬怎么发、业绩说了算的导向。</w:t>
      </w:r>
      <w:r>
        <w:rPr>
          <w:rFonts w:hint="eastAsia" w:ascii="仿宋_GB2312" w:hAnsi="仿宋_GB2312" w:eastAsia="仿宋_GB2312" w:cs="仿宋_GB2312"/>
          <w:b/>
          <w:bCs/>
          <w:kern w:val="2"/>
          <w:sz w:val="32"/>
          <w:szCs w:val="32"/>
          <w:highlight w:val="none"/>
          <w:lang w:val="en-US" w:eastAsia="zh-CN" w:bidi="ar-SA"/>
        </w:rPr>
        <w:t>六</w:t>
      </w:r>
      <w:r>
        <w:rPr>
          <w:rFonts w:hint="eastAsia" w:ascii="仿宋_GB2312" w:hAnsi="仿宋_GB2312" w:eastAsia="仿宋_GB2312" w:cs="仿宋_GB2312"/>
          <w:b/>
          <w:bCs w:val="0"/>
          <w:color w:val="auto"/>
          <w:sz w:val="32"/>
          <w:szCs w:val="32"/>
          <w:shd w:val="clear" w:color="auto" w:fill="FFFFFF"/>
          <w:lang w:val="en-US" w:eastAsia="zh-CN"/>
        </w:rPr>
        <w:t>是健全完善考核制度。</w:t>
      </w:r>
      <w:r>
        <w:rPr>
          <w:rFonts w:hint="eastAsia" w:ascii="仿宋_GB2312" w:hAnsi="仿宋_GB2312" w:eastAsia="仿宋_GB2312" w:cs="仿宋_GB2312"/>
          <w:color w:val="000000"/>
          <w:sz w:val="32"/>
          <w:szCs w:val="32"/>
          <w:highlight w:val="none"/>
          <w:lang w:val="en-US" w:eastAsia="zh-CN"/>
        </w:rPr>
        <w:t>指导集团公司对子企业采取不同的考核导向，合理设置考核指标及权重，实行差异化的分类考核。</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CESI楷体-GB2312" w:hAnsi="CESI楷体-GB2312" w:eastAsia="CESI楷体-GB2312" w:cs="CESI楷体-GB2312"/>
          <w:b/>
          <w:bCs/>
          <w:kern w:val="2"/>
          <w:sz w:val="32"/>
          <w:szCs w:val="32"/>
          <w:lang w:val="en-US" w:eastAsia="zh-CN" w:bidi="ar-SA"/>
        </w:rPr>
      </w:pPr>
      <w:r>
        <w:rPr>
          <w:rFonts w:hint="eastAsia" w:ascii="CESI楷体-GB2312" w:hAnsi="CESI楷体-GB2312" w:eastAsia="CESI楷体-GB2312" w:cs="CESI楷体-GB2312"/>
          <w:b/>
          <w:bCs/>
          <w:kern w:val="2"/>
          <w:sz w:val="32"/>
          <w:szCs w:val="32"/>
          <w:lang w:val="en-US" w:eastAsia="zh-CN" w:bidi="ar-SA"/>
        </w:rPr>
        <w:t>（二）优化国资监管提效力</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val="0"/>
          <w:color w:val="auto"/>
          <w:sz w:val="32"/>
          <w:szCs w:val="32"/>
          <w:shd w:val="clear" w:color="auto" w:fill="FFFFFF"/>
          <w:lang w:val="zh-CN" w:eastAsia="zh-CN"/>
        </w:rPr>
        <w:t>一是坚持“三统一、三结合”。</w:t>
      </w:r>
      <w:r>
        <w:rPr>
          <w:rFonts w:hint="eastAsia" w:ascii="仿宋_GB2312" w:hAnsi="仿宋_GB2312" w:eastAsia="仿宋_GB2312" w:cs="仿宋_GB2312"/>
          <w:sz w:val="32"/>
          <w:szCs w:val="32"/>
          <w:highlight w:val="none"/>
        </w:rPr>
        <w:t>把全面履行出资人职责、国有资产监管职责和企业党的建设工作职责三者统一起来，不断提升国资监管效能。</w:t>
      </w:r>
      <w:r>
        <w:rPr>
          <w:rFonts w:hint="eastAsia" w:ascii="仿宋_GB2312" w:hAnsi="仿宋_GB2312" w:eastAsia="仿宋_GB2312" w:cs="仿宋_GB2312"/>
          <w:b/>
          <w:bCs w:val="0"/>
          <w:color w:val="auto"/>
          <w:sz w:val="32"/>
          <w:szCs w:val="32"/>
          <w:shd w:val="clear" w:color="auto" w:fill="FFFFFF"/>
          <w:lang w:val="en-US" w:eastAsia="zh-CN"/>
        </w:rPr>
        <w:t>二是</w:t>
      </w:r>
      <w:r>
        <w:rPr>
          <w:rFonts w:hint="eastAsia" w:ascii="仿宋_GB2312" w:hAnsi="仿宋_GB2312" w:eastAsia="仿宋_GB2312" w:cs="仿宋_GB2312"/>
          <w:b/>
          <w:bCs w:val="0"/>
          <w:color w:val="auto"/>
          <w:sz w:val="32"/>
          <w:szCs w:val="32"/>
          <w:shd w:val="clear" w:color="auto" w:fill="FFFFFF"/>
          <w:lang w:val="zh-CN" w:eastAsia="zh-CN"/>
        </w:rPr>
        <w:t>要推动董事会配齐建强高效运转。</w:t>
      </w:r>
      <w:r>
        <w:rPr>
          <w:rFonts w:hint="eastAsia" w:ascii="仿宋_GB2312" w:hAnsi="仿宋_GB2312" w:eastAsia="仿宋_GB2312" w:cs="仿宋_GB2312"/>
          <w:sz w:val="32"/>
          <w:szCs w:val="32"/>
          <w:highlight w:val="none"/>
        </w:rPr>
        <w:t>加强高素质专业化外部董事队伍建设。规范董事会向经理层授权，切实发挥董事会“定战略、作决策、防风险”作用。</w:t>
      </w:r>
      <w:r>
        <w:rPr>
          <w:rFonts w:hint="eastAsia" w:ascii="仿宋_GB2312" w:hAnsi="仿宋_GB2312" w:eastAsia="仿宋_GB2312" w:cs="仿宋_GB2312"/>
          <w:b/>
          <w:bCs w:val="0"/>
          <w:color w:val="auto"/>
          <w:sz w:val="32"/>
          <w:szCs w:val="32"/>
          <w:shd w:val="clear" w:color="auto" w:fill="FFFFFF"/>
          <w:lang w:val="en-US" w:eastAsia="zh-CN"/>
        </w:rPr>
        <w:t>三是</w:t>
      </w:r>
      <w:r>
        <w:rPr>
          <w:rFonts w:hint="eastAsia" w:ascii="仿宋_GB2312" w:hAnsi="仿宋_GB2312" w:eastAsia="仿宋_GB2312" w:cs="仿宋_GB2312"/>
          <w:b/>
          <w:bCs w:val="0"/>
          <w:color w:val="auto"/>
          <w:sz w:val="32"/>
          <w:szCs w:val="32"/>
          <w:shd w:val="clear" w:color="auto" w:fill="FFFFFF"/>
          <w:lang w:val="zh-CN" w:eastAsia="zh-CN"/>
        </w:rPr>
        <w:t>做到国资监管持续强化。</w:t>
      </w:r>
      <w:r>
        <w:rPr>
          <w:rFonts w:hint="eastAsia" w:ascii="仿宋_GB2312" w:hAnsi="仿宋_GB2312" w:eastAsia="仿宋_GB2312" w:cs="仿宋_GB2312"/>
          <w:sz w:val="32"/>
          <w:szCs w:val="32"/>
          <w:highlight w:val="none"/>
        </w:rPr>
        <w:t>把全面履行出资人职责、国有资产监管职责和企业党的建设工作职责三者</w:t>
      </w:r>
      <w:r>
        <w:rPr>
          <w:rFonts w:hint="eastAsia" w:ascii="仿宋_GB2312" w:hAnsi="仿宋_GB2312" w:eastAsia="仿宋_GB2312" w:cs="仿宋_GB2312"/>
          <w:sz w:val="32"/>
          <w:szCs w:val="32"/>
          <w:highlight w:val="none"/>
          <w:lang w:eastAsia="zh-CN"/>
        </w:rPr>
        <w:t>有机结合</w:t>
      </w:r>
      <w:r>
        <w:rPr>
          <w:rFonts w:hint="eastAsia" w:ascii="仿宋_GB2312" w:hAnsi="仿宋_GB2312" w:eastAsia="仿宋_GB2312" w:cs="仿宋_GB2312"/>
          <w:sz w:val="32"/>
          <w:szCs w:val="32"/>
          <w:highlight w:val="none"/>
        </w:rPr>
        <w:t>统一起来，</w:t>
      </w:r>
      <w:r>
        <w:rPr>
          <w:rFonts w:hint="eastAsia" w:ascii="仿宋_GB2312" w:hAnsi="仿宋_GB2312" w:eastAsia="仿宋_GB2312" w:cs="仿宋_GB2312"/>
          <w:sz w:val="32"/>
          <w:szCs w:val="32"/>
          <w:highlight w:val="none"/>
          <w:lang w:eastAsia="zh-CN"/>
        </w:rPr>
        <w:t>厘清国资监管和公司治理权责边界</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val="0"/>
          <w:bCs/>
          <w:color w:val="auto"/>
          <w:sz w:val="32"/>
          <w:szCs w:val="32"/>
          <w:shd w:val="clear" w:color="auto" w:fill="FFFFFF"/>
          <w:lang w:val="en-US" w:eastAsia="zh-CN"/>
        </w:rPr>
        <w:t>组织实施</w:t>
      </w:r>
      <w:r>
        <w:rPr>
          <w:rFonts w:hint="eastAsia" w:ascii="仿宋_GB2312" w:hAnsi="仿宋_GB2312" w:eastAsia="仿宋_GB2312" w:cs="仿宋_GB2312"/>
          <w:sz w:val="32"/>
          <w:szCs w:val="32"/>
          <w:highlight w:val="none"/>
          <w:lang w:val="en-US" w:eastAsia="zh-CN"/>
        </w:rPr>
        <w:t>国有资产租赁领域的“二房东</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、国有参股股权管理和民企挂靠国企等问题</w:t>
      </w:r>
      <w:r>
        <w:rPr>
          <w:rFonts w:hint="eastAsia" w:ascii="仿宋_GB2312" w:hAnsi="仿宋_GB2312" w:eastAsia="仿宋_GB2312" w:cs="仿宋_GB2312"/>
          <w:b w:val="0"/>
          <w:bCs/>
          <w:color w:val="auto"/>
          <w:sz w:val="32"/>
          <w:szCs w:val="32"/>
          <w:shd w:val="clear" w:color="auto" w:fill="FFFFFF"/>
          <w:lang w:val="en-US" w:eastAsia="zh-CN"/>
        </w:rPr>
        <w:t>关键领域专项整治。</w:t>
      </w:r>
      <w:r>
        <w:rPr>
          <w:rFonts w:hint="eastAsia" w:ascii="仿宋_GB2312" w:hAnsi="仿宋_GB2312" w:eastAsia="仿宋_GB2312" w:cs="仿宋_GB2312"/>
          <w:b/>
          <w:bCs w:val="0"/>
          <w:color w:val="auto"/>
          <w:sz w:val="32"/>
          <w:szCs w:val="32"/>
          <w:shd w:val="clear" w:color="auto" w:fill="FFFFFF"/>
          <w:lang w:val="en-US" w:eastAsia="zh-CN"/>
        </w:rPr>
        <w:t>四是优化资产配置，充分发挥国有资产效益。</w:t>
      </w:r>
      <w:r>
        <w:rPr>
          <w:rFonts w:hint="eastAsia" w:ascii="仿宋_GB2312" w:hAnsi="仿宋_GB2312" w:eastAsia="仿宋_GB2312" w:cs="仿宋_GB2312"/>
          <w:sz w:val="32"/>
          <w:szCs w:val="32"/>
          <w:highlight w:val="none"/>
          <w:lang w:val="en-US" w:eastAsia="zh-CN"/>
        </w:rPr>
        <w:t>全面梳理划转资产，盘活存量资产，推动低效无效资产的治理，着力解决资产权证遗留问题，全面完成资产移交。理顺产权关系，规范国有资产交易，加强国有资产评估管理，推动出资企业资产专项档案规范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left"/>
        <w:textAlignment w:val="auto"/>
        <w:rPr>
          <w:rFonts w:hint="eastAsia" w:ascii="CESI楷体-GB2312" w:hAnsi="CESI楷体-GB2312" w:eastAsia="CESI楷体-GB2312" w:cs="CESI楷体-GB2312"/>
          <w:b/>
          <w:bCs/>
          <w:kern w:val="2"/>
          <w:sz w:val="32"/>
          <w:szCs w:val="32"/>
          <w:lang w:val="en-US" w:eastAsia="zh-CN" w:bidi="ar-SA"/>
        </w:rPr>
      </w:pPr>
      <w:r>
        <w:rPr>
          <w:rFonts w:hint="eastAsia" w:ascii="CESI楷体-GB2312" w:hAnsi="CESI楷体-GB2312" w:eastAsia="CESI楷体-GB2312" w:cs="CESI楷体-GB2312"/>
          <w:b/>
          <w:bCs/>
          <w:kern w:val="2"/>
          <w:sz w:val="32"/>
          <w:szCs w:val="32"/>
          <w:lang w:val="en-US" w:eastAsia="zh-CN" w:bidi="ar-SA"/>
        </w:rPr>
        <w:t>（三）坚持党建引领增凝聚力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1"/>
          <w:rFonts w:hint="eastAsia" w:ascii="黑体" w:hAnsi="黑体" w:eastAsia="黑体" w:cs="黑体"/>
          <w:b w:val="0"/>
          <w:bCs/>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val="0"/>
          <w:color w:val="auto"/>
          <w:sz w:val="32"/>
          <w:szCs w:val="32"/>
          <w:shd w:val="clear" w:color="auto" w:fill="FFFFFF"/>
          <w:lang w:eastAsia="zh-CN"/>
        </w:rPr>
        <w:t>一是</w:t>
      </w:r>
      <w:r>
        <w:rPr>
          <w:rFonts w:hint="eastAsia" w:ascii="仿宋_GB2312" w:hAnsi="仿宋_GB2312" w:eastAsia="仿宋_GB2312" w:cs="仿宋_GB2312"/>
          <w:b/>
          <w:bCs w:val="0"/>
          <w:color w:val="auto"/>
          <w:sz w:val="32"/>
          <w:szCs w:val="32"/>
          <w:shd w:val="clear" w:color="auto" w:fill="FFFFFF"/>
        </w:rPr>
        <w:t>抓实政治引领凝聚理想信念推动力。</w:t>
      </w:r>
      <w:r>
        <w:rPr>
          <w:rFonts w:hint="eastAsia" w:ascii="仿宋_GB2312" w:hAnsi="仿宋_GB2312" w:eastAsia="仿宋_GB2312" w:cs="仿宋_GB2312"/>
          <w:i w:val="0"/>
          <w:iCs w:val="0"/>
          <w:caps w:val="0"/>
          <w:color w:val="auto"/>
          <w:spacing w:val="0"/>
          <w:sz w:val="32"/>
          <w:szCs w:val="32"/>
          <w:shd w:val="clear" w:color="auto" w:fill="FFFFFF"/>
        </w:rPr>
        <w:t>深入学习贯彻习近平国企改革发展和党的建设重要论述</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推动全系统认真落实中央、省委和市委市政府决策部署，确保统一思想、学以致用、上下贯通、全面履责。</w:t>
      </w:r>
      <w:r>
        <w:rPr>
          <w:rFonts w:hint="eastAsia" w:ascii="仿宋_GB2312" w:hAnsi="仿宋_GB2312" w:eastAsia="仿宋_GB2312" w:cs="仿宋_GB2312"/>
          <w:b/>
          <w:bCs w:val="0"/>
          <w:color w:val="auto"/>
          <w:sz w:val="32"/>
          <w:szCs w:val="32"/>
          <w:shd w:val="clear" w:color="auto" w:fill="FFFFFF"/>
          <w:lang w:eastAsia="zh-CN"/>
        </w:rPr>
        <w:t>二是</w:t>
      </w:r>
      <w:r>
        <w:rPr>
          <w:rFonts w:hint="eastAsia" w:ascii="仿宋_GB2312" w:hAnsi="仿宋_GB2312" w:eastAsia="仿宋_GB2312" w:cs="仿宋_GB2312"/>
          <w:b/>
          <w:bCs w:val="0"/>
          <w:color w:val="auto"/>
          <w:sz w:val="32"/>
          <w:szCs w:val="32"/>
          <w:shd w:val="clear" w:color="auto" w:fill="FFFFFF"/>
        </w:rPr>
        <w:t>抓实党建责任制凝聚党建引领力。</w:t>
      </w:r>
      <w:r>
        <w:rPr>
          <w:rFonts w:hint="eastAsia" w:ascii="仿宋_GB2312" w:hAnsi="仿宋_GB2312" w:eastAsia="仿宋_GB2312" w:cs="仿宋_GB2312"/>
          <w:color w:val="auto"/>
          <w:sz w:val="32"/>
          <w:szCs w:val="32"/>
        </w:rPr>
        <w:t>细化各级党组织责任清单，</w:t>
      </w:r>
      <w:r>
        <w:rPr>
          <w:rFonts w:hint="eastAsia" w:ascii="仿宋_GB2312" w:hAnsi="仿宋_GB2312" w:eastAsia="仿宋_GB2312" w:cs="仿宋_GB2312"/>
          <w:color w:val="auto"/>
          <w:sz w:val="32"/>
          <w:szCs w:val="32"/>
          <w:lang w:eastAsia="zh-CN"/>
        </w:rPr>
        <w:t>加强人才队伍建设，</w:t>
      </w:r>
      <w:r>
        <w:rPr>
          <w:rFonts w:hint="eastAsia" w:ascii="仿宋_GB2312" w:hAnsi="仿宋_GB2312" w:eastAsia="仿宋_GB2312" w:cs="仿宋_GB2312"/>
          <w:color w:val="auto"/>
          <w:kern w:val="0"/>
          <w:sz w:val="32"/>
          <w:szCs w:val="32"/>
        </w:rPr>
        <w:t>持续培养发展基层党员</w:t>
      </w:r>
      <w:r>
        <w:rPr>
          <w:rFonts w:hint="eastAsia" w:ascii="仿宋_GB2312" w:hAnsi="仿宋_GB2312" w:eastAsia="仿宋_GB2312" w:cs="仿宋_GB2312"/>
          <w:color w:val="auto"/>
          <w:kern w:val="0"/>
          <w:sz w:val="32"/>
          <w:szCs w:val="32"/>
          <w:lang w:eastAsia="zh-CN"/>
        </w:rPr>
        <w:t>，全面推广“支部阶梯联创”。积极引导各基层党组织开展</w:t>
      </w:r>
      <w:r>
        <w:rPr>
          <w:rFonts w:hint="eastAsia" w:ascii="仿宋_GB2312" w:hAnsi="仿宋_GB2312" w:eastAsia="仿宋_GB2312" w:cs="仿宋_GB2312"/>
          <w:color w:val="auto"/>
          <w:kern w:val="0"/>
          <w:sz w:val="32"/>
          <w:szCs w:val="32"/>
        </w:rPr>
        <w:t>“党建+经营”“党建+发展”等</w:t>
      </w:r>
      <w:r>
        <w:rPr>
          <w:rFonts w:hint="eastAsia" w:ascii="仿宋_GB2312" w:hAnsi="仿宋_GB2312" w:eastAsia="仿宋_GB2312" w:cs="仿宋_GB2312"/>
          <w:color w:val="auto"/>
          <w:kern w:val="0"/>
          <w:sz w:val="32"/>
          <w:szCs w:val="32"/>
          <w:lang w:eastAsia="zh-CN"/>
        </w:rPr>
        <w:t>党业融合活动，不断推进国企</w:t>
      </w:r>
      <w:r>
        <w:rPr>
          <w:rFonts w:hint="eastAsia" w:ascii="仿宋_GB2312" w:hAnsi="仿宋_GB2312" w:eastAsia="仿宋_GB2312" w:cs="仿宋_GB2312"/>
          <w:color w:val="auto"/>
          <w:kern w:val="0"/>
          <w:sz w:val="32"/>
          <w:szCs w:val="32"/>
        </w:rPr>
        <w:t>党建与</w:t>
      </w:r>
      <w:r>
        <w:rPr>
          <w:rFonts w:hint="eastAsia" w:ascii="仿宋_GB2312" w:hAnsi="仿宋_GB2312" w:eastAsia="仿宋_GB2312" w:cs="仿宋_GB2312"/>
          <w:color w:val="auto"/>
          <w:kern w:val="0"/>
          <w:sz w:val="32"/>
          <w:szCs w:val="32"/>
          <w:lang w:eastAsia="zh-CN"/>
        </w:rPr>
        <w:t>生产经营深度融合。</w:t>
      </w:r>
      <w:r>
        <w:rPr>
          <w:rFonts w:hint="eastAsia" w:ascii="仿宋_GB2312" w:hAnsi="仿宋_GB2312" w:eastAsia="仿宋_GB2312" w:cs="仿宋_GB2312"/>
          <w:b/>
          <w:bCs w:val="0"/>
          <w:color w:val="auto"/>
          <w:sz w:val="32"/>
          <w:szCs w:val="32"/>
          <w:shd w:val="clear" w:color="auto" w:fill="FFFFFF"/>
          <w:lang w:val="en-US" w:eastAsia="zh-CN"/>
        </w:rPr>
        <w:t>三是</w:t>
      </w:r>
      <w:r>
        <w:rPr>
          <w:rFonts w:hint="eastAsia" w:ascii="仿宋_GB2312" w:hAnsi="仿宋_GB2312" w:eastAsia="仿宋_GB2312" w:cs="仿宋_GB2312"/>
          <w:b/>
          <w:bCs w:val="0"/>
          <w:color w:val="auto"/>
          <w:sz w:val="32"/>
          <w:szCs w:val="32"/>
          <w:shd w:val="clear" w:color="auto" w:fill="FFFFFF"/>
          <w:lang w:eastAsia="zh-CN"/>
        </w:rPr>
        <w:t>抓好党风廉政建设凝聚清廉合力。</w:t>
      </w:r>
      <w:r>
        <w:rPr>
          <w:rFonts w:hint="eastAsia" w:ascii="仿宋_GB2312" w:hAnsi="仿宋_GB2312" w:eastAsia="仿宋_GB2312" w:cs="仿宋_GB2312"/>
          <w:color w:val="auto"/>
          <w:kern w:val="2"/>
          <w:sz w:val="32"/>
          <w:szCs w:val="32"/>
          <w:lang w:val="en-US" w:eastAsia="zh-CN" w:bidi="ar-SA"/>
        </w:rPr>
        <w:t>深入推进全面从严治党主体责任，用好用实国资在线监管平台，</w:t>
      </w:r>
      <w:r>
        <w:rPr>
          <w:rFonts w:hint="eastAsia" w:ascii="仿宋_GB2312" w:hAnsi="仿宋_GB2312" w:eastAsia="仿宋_GB2312" w:cs="仿宋_GB2312"/>
          <w:kern w:val="2"/>
          <w:sz w:val="32"/>
          <w:szCs w:val="32"/>
          <w:highlight w:val="none"/>
          <w:lang w:val="en-US" w:eastAsia="zh-CN" w:bidi="ar-SA"/>
        </w:rPr>
        <w:t>建立企业容错纠错实施机制，</w:t>
      </w:r>
      <w:r>
        <w:rPr>
          <w:rFonts w:hint="eastAsia" w:ascii="仿宋_GB2312" w:hAnsi="仿宋_GB2312" w:eastAsia="仿宋_GB2312" w:cs="仿宋_GB2312"/>
          <w:color w:val="auto"/>
          <w:kern w:val="2"/>
          <w:sz w:val="32"/>
          <w:szCs w:val="32"/>
          <w:lang w:val="en-US" w:eastAsia="zh-CN" w:bidi="ar-SA"/>
        </w:rPr>
        <w:t>扎实推进清廉国企建设，定期召开推进会。</w:t>
      </w: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FF0000"/>
          <w:sz w:val="32"/>
          <w:szCs w:val="32"/>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FF0000"/>
          <w:sz w:val="32"/>
          <w:szCs w:val="32"/>
        </w:r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FF0000"/>
          <w:sz w:val="32"/>
          <w:szCs w:val="32"/>
        </w:rPr>
      </w:pPr>
    </w:p>
    <w:tbl>
      <w:tblPr>
        <w:tblStyle w:val="9"/>
        <w:tblpPr w:leftFromText="180" w:rightFromText="180" w:vertAnchor="text" w:horzAnchor="page" w:tblpX="876" w:tblpY="732"/>
        <w:tblOverlap w:val="never"/>
        <w:tblW w:w="106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40"/>
        <w:gridCol w:w="1980"/>
        <w:gridCol w:w="3285"/>
        <w:gridCol w:w="1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635"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44"/>
                <w:szCs w:val="44"/>
                <w:u w:val="none"/>
              </w:rPr>
            </w:pPr>
            <w:r>
              <w:rPr>
                <w:rFonts w:hint="eastAsia" w:ascii="宋体" w:hAnsi="宋体" w:eastAsia="宋体" w:cs="宋体"/>
                <w:b/>
                <w:bCs/>
                <w:i w:val="0"/>
                <w:iCs w:val="0"/>
                <w:color w:val="auto"/>
                <w:kern w:val="0"/>
                <w:sz w:val="44"/>
                <w:szCs w:val="44"/>
                <w:u w:val="none"/>
                <w:lang w:val="en-US" w:eastAsia="zh-CN" w:bidi="ar"/>
              </w:rPr>
              <w:t>部门收支预算总表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40" w:type="dxa"/>
            <w:tcBorders>
              <w:top w:val="nil"/>
              <w:left w:val="nil"/>
              <w:bottom w:val="nil"/>
              <w:right w:val="nil"/>
            </w:tcBorders>
            <w:shd w:val="clear" w:color="auto" w:fill="auto"/>
            <w:noWrap/>
            <w:vAlign w:val="bottom"/>
          </w:tcPr>
          <w:p>
            <w:pPr>
              <w:rPr>
                <w:rFonts w:hint="eastAsia" w:ascii="Calibri" w:hAnsi="Calibri" w:cs="Calibri"/>
                <w:i w:val="0"/>
                <w:iCs w:val="0"/>
                <w:color w:val="auto"/>
                <w:sz w:val="22"/>
                <w:szCs w:val="22"/>
                <w:u w:val="none"/>
              </w:rPr>
            </w:pPr>
          </w:p>
        </w:tc>
        <w:tc>
          <w:tcPr>
            <w:tcW w:w="1980" w:type="dxa"/>
            <w:tcBorders>
              <w:top w:val="nil"/>
              <w:left w:val="nil"/>
              <w:bottom w:val="nil"/>
              <w:right w:val="nil"/>
            </w:tcBorders>
            <w:shd w:val="clear" w:color="auto" w:fill="auto"/>
            <w:noWrap/>
            <w:vAlign w:val="bottom"/>
          </w:tcPr>
          <w:p>
            <w:pPr>
              <w:rPr>
                <w:rFonts w:hint="eastAsia" w:ascii="宋体" w:hAnsi="宋体" w:eastAsia="宋体" w:cs="宋体"/>
                <w:i w:val="0"/>
                <w:iCs w:val="0"/>
                <w:color w:val="auto"/>
                <w:sz w:val="18"/>
                <w:szCs w:val="18"/>
                <w:u w:val="none"/>
              </w:rPr>
            </w:pPr>
          </w:p>
        </w:tc>
        <w:tc>
          <w:tcPr>
            <w:tcW w:w="328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1830"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收入</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支出</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预算数</w:t>
            </w: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项目（按经济分类）</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一、一般公共预算拨款</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1084.81</w:t>
            </w:r>
          </w:p>
        </w:tc>
        <w:tc>
          <w:tcPr>
            <w:tcW w:w="32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一、基本保障支出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867.81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本级一般公共预算拨款</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1084.81</w:t>
            </w:r>
          </w:p>
        </w:tc>
        <w:tc>
          <w:tcPr>
            <w:tcW w:w="32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人员经费支出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751.15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经费拨款（补助）</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1084.81</w:t>
            </w:r>
          </w:p>
        </w:tc>
        <w:tc>
          <w:tcPr>
            <w:tcW w:w="32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标准公用经费支出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纳入预算管理的非税</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FF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二、项目支出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217.00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上级补助</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FF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经常性项目</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217.00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一般债券</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FF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当年一次性项目</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二、政府性基金拨款</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跨年一次性项目</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本级基金</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FF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三、项目支出不可预见费</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上级基金</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四、事业单位经营支出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专项债券</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五、对附属单位补助支出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三、国有资本经营预算拨款</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六、上缴上级支出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四、纳入专户管理的非税收入</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0"/>
                <w:szCs w:val="20"/>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五、事业收入</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0"/>
                <w:szCs w:val="20"/>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六、事业单位经营收入</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0"/>
                <w:szCs w:val="20"/>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七、附属单位上缴收入</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0"/>
                <w:szCs w:val="20"/>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八、往来收入</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0"/>
                <w:szCs w:val="20"/>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九、其他收入</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0"/>
                <w:szCs w:val="20"/>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十、融资借款</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0"/>
                <w:szCs w:val="20"/>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十一、上级补助收入</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0"/>
                <w:szCs w:val="20"/>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0"/>
                <w:szCs w:val="20"/>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1084.81</w:t>
            </w: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1084.81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0"/>
                <w:szCs w:val="20"/>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0"/>
                <w:szCs w:val="20"/>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十二 、上年结余（转）</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结转下年</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公共预算结转</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0"/>
                <w:szCs w:val="20"/>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政府基金结转</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0"/>
                <w:szCs w:val="20"/>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其他结余</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0"/>
                <w:szCs w:val="20"/>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0"/>
                <w:szCs w:val="20"/>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收入总计：</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1084.81</w:t>
            </w: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支出总计</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1084.81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40"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FF0000"/>
                <w:sz w:val="20"/>
                <w:szCs w:val="20"/>
                <w:u w:val="none"/>
              </w:rPr>
            </w:pPr>
          </w:p>
        </w:tc>
        <w:tc>
          <w:tcPr>
            <w:tcW w:w="1980" w:type="dxa"/>
            <w:tcBorders>
              <w:top w:val="nil"/>
              <w:left w:val="nil"/>
              <w:bottom w:val="nil"/>
              <w:right w:val="nil"/>
            </w:tcBorders>
            <w:shd w:val="clear" w:color="auto" w:fill="auto"/>
            <w:noWrap/>
            <w:vAlign w:val="bottom"/>
          </w:tcPr>
          <w:p>
            <w:pPr>
              <w:rPr>
                <w:rFonts w:hint="eastAsia" w:ascii="宋体" w:hAnsi="宋体" w:eastAsia="宋体" w:cs="宋体"/>
                <w:i w:val="0"/>
                <w:iCs w:val="0"/>
                <w:color w:val="FF0000"/>
                <w:sz w:val="20"/>
                <w:szCs w:val="20"/>
                <w:u w:val="none"/>
              </w:rPr>
            </w:pPr>
          </w:p>
        </w:tc>
        <w:tc>
          <w:tcPr>
            <w:tcW w:w="3285" w:type="dxa"/>
            <w:tcBorders>
              <w:top w:val="nil"/>
              <w:left w:val="nil"/>
              <w:bottom w:val="nil"/>
              <w:right w:val="nil"/>
            </w:tcBorders>
            <w:shd w:val="clear" w:color="auto" w:fill="auto"/>
            <w:noWrap/>
            <w:vAlign w:val="bottom"/>
          </w:tcPr>
          <w:p>
            <w:pPr>
              <w:rPr>
                <w:rFonts w:hint="eastAsia" w:ascii="宋体" w:hAnsi="宋体" w:eastAsia="宋体" w:cs="宋体"/>
                <w:i w:val="0"/>
                <w:iCs w:val="0"/>
                <w:color w:val="FF0000"/>
                <w:sz w:val="20"/>
                <w:szCs w:val="20"/>
                <w:u w:val="none"/>
              </w:rPr>
            </w:pPr>
          </w:p>
        </w:tc>
        <w:tc>
          <w:tcPr>
            <w:tcW w:w="1830" w:type="dxa"/>
            <w:tcBorders>
              <w:top w:val="nil"/>
              <w:left w:val="nil"/>
              <w:bottom w:val="nil"/>
              <w:right w:val="nil"/>
            </w:tcBorders>
            <w:shd w:val="clear" w:color="auto" w:fill="auto"/>
            <w:noWrap/>
            <w:vAlign w:val="bottom"/>
          </w:tcPr>
          <w:p>
            <w:pPr>
              <w:rPr>
                <w:rFonts w:hint="eastAsia" w:ascii="宋体" w:hAnsi="宋体" w:eastAsia="宋体" w:cs="宋体"/>
                <w:i w:val="0"/>
                <w:iCs w:val="0"/>
                <w:color w:val="FF0000"/>
                <w:sz w:val="20"/>
                <w:szCs w:val="20"/>
                <w:u w:val="none"/>
              </w:rPr>
            </w:pPr>
          </w:p>
        </w:tc>
      </w:tr>
    </w:tbl>
    <w:p>
      <w:pPr>
        <w:pStyle w:val="5"/>
        <w:jc w:val="center"/>
        <w:rPr>
          <w:rFonts w:hint="eastAsia" w:ascii="仿宋_GB2312" w:hAnsi="仿宋_GB2312" w:eastAsia="仿宋_GB2312" w:cs="仿宋_GB2312"/>
          <w:b/>
          <w:bCs/>
          <w:color w:val="FF0000"/>
          <w:sz w:val="36"/>
          <w:szCs w:val="36"/>
          <w:lang w:val="en-US" w:eastAsia="zh-CN"/>
        </w:rPr>
      </w:pPr>
      <w:r>
        <w:rPr>
          <w:rFonts w:hint="eastAsia" w:ascii="黑体" w:hAnsi="黑体" w:eastAsia="黑体" w:cs="黑体"/>
          <w:b w:val="0"/>
          <w:bCs w:val="0"/>
          <w:color w:val="auto"/>
          <w:sz w:val="36"/>
          <w:szCs w:val="36"/>
          <w:lang w:eastAsia="zh-CN"/>
        </w:rPr>
        <w:t>第二部分</w:t>
      </w:r>
      <w:r>
        <w:rPr>
          <w:rFonts w:hint="eastAsia" w:ascii="黑体" w:hAnsi="黑体" w:eastAsia="黑体" w:cs="黑体"/>
          <w:b w:val="0"/>
          <w:bCs w:val="0"/>
          <w:color w:val="auto"/>
          <w:sz w:val="36"/>
          <w:szCs w:val="36"/>
          <w:lang w:val="en-US" w:eastAsia="zh-CN"/>
        </w:rPr>
        <w:t xml:space="preserve">  咸宁市政府国资委</w:t>
      </w:r>
      <w:r>
        <w:rPr>
          <w:rFonts w:hint="eastAsia" w:ascii="黑体" w:hAnsi="黑体" w:eastAsia="黑体" w:cs="黑体"/>
          <w:b w:val="0"/>
          <w:bCs w:val="0"/>
          <w:i w:val="0"/>
          <w:caps w:val="0"/>
          <w:color w:val="auto"/>
          <w:spacing w:val="0"/>
          <w:sz w:val="36"/>
          <w:szCs w:val="36"/>
          <w:shd w:val="clear" w:fill="FFFFFF"/>
        </w:rPr>
        <w:t>202</w:t>
      </w:r>
      <w:r>
        <w:rPr>
          <w:rFonts w:hint="eastAsia" w:ascii="黑体" w:hAnsi="黑体" w:eastAsia="黑体" w:cs="黑体"/>
          <w:b w:val="0"/>
          <w:bCs w:val="0"/>
          <w:i w:val="0"/>
          <w:caps w:val="0"/>
          <w:color w:val="auto"/>
          <w:spacing w:val="0"/>
          <w:sz w:val="36"/>
          <w:szCs w:val="36"/>
          <w:shd w:val="clear" w:fill="FFFFFF"/>
          <w:lang w:val="en-US" w:eastAsia="zh-CN"/>
        </w:rPr>
        <w:t>3</w:t>
      </w:r>
      <w:r>
        <w:rPr>
          <w:rFonts w:hint="eastAsia" w:ascii="黑体" w:hAnsi="黑体" w:eastAsia="黑体" w:cs="黑体"/>
          <w:b w:val="0"/>
          <w:bCs w:val="0"/>
          <w:i w:val="0"/>
          <w:caps w:val="0"/>
          <w:color w:val="auto"/>
          <w:spacing w:val="0"/>
          <w:sz w:val="36"/>
          <w:szCs w:val="36"/>
          <w:shd w:val="clear" w:fill="FFFFFF"/>
        </w:rPr>
        <w:t>年</w:t>
      </w:r>
      <w:r>
        <w:rPr>
          <w:rFonts w:hint="eastAsia" w:ascii="黑体" w:hAnsi="黑体" w:eastAsia="黑体" w:cs="黑体"/>
          <w:b w:val="0"/>
          <w:bCs w:val="0"/>
          <w:i w:val="0"/>
          <w:caps w:val="0"/>
          <w:color w:val="auto"/>
          <w:spacing w:val="0"/>
          <w:sz w:val="36"/>
          <w:szCs w:val="36"/>
          <w:shd w:val="clear" w:fill="FFFFFF"/>
          <w:lang w:eastAsia="zh-CN"/>
        </w:rPr>
        <w:t>部门</w:t>
      </w:r>
      <w:r>
        <w:rPr>
          <w:rFonts w:hint="eastAsia" w:ascii="黑体" w:hAnsi="黑体" w:eastAsia="黑体" w:cs="黑体"/>
          <w:b w:val="0"/>
          <w:bCs w:val="0"/>
          <w:i w:val="0"/>
          <w:caps w:val="0"/>
          <w:color w:val="auto"/>
          <w:spacing w:val="0"/>
          <w:sz w:val="36"/>
          <w:szCs w:val="36"/>
          <w:shd w:val="clear" w:fill="FFFFFF"/>
        </w:rPr>
        <w:t>预算表</w:t>
      </w:r>
    </w:p>
    <w:p>
      <w:pPr>
        <w:rPr>
          <w:rFonts w:hint="eastAsia" w:ascii="Calibri" w:hAnsi="Calibri" w:cs="Calibri"/>
          <w:i w:val="0"/>
          <w:iCs w:val="0"/>
          <w:color w:val="FF0000"/>
          <w:sz w:val="22"/>
          <w:szCs w:val="22"/>
          <w:u w:val="none"/>
        </w:rPr>
        <w:sectPr>
          <w:pgSz w:w="11906" w:h="16838"/>
          <w:pgMar w:top="1440" w:right="1800" w:bottom="1440" w:left="1800" w:header="851" w:footer="992" w:gutter="0"/>
          <w:cols w:space="425" w:num="1"/>
          <w:docGrid w:type="lines" w:linePitch="312" w:charSpace="0"/>
        </w:sectPr>
      </w:pPr>
    </w:p>
    <w:tbl>
      <w:tblPr>
        <w:tblStyle w:val="9"/>
        <w:tblW w:w="155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2"/>
        <w:gridCol w:w="1738"/>
        <w:gridCol w:w="886"/>
        <w:gridCol w:w="474"/>
        <w:gridCol w:w="73"/>
        <w:gridCol w:w="357"/>
        <w:gridCol w:w="102"/>
        <w:gridCol w:w="348"/>
        <w:gridCol w:w="45"/>
        <w:gridCol w:w="396"/>
        <w:gridCol w:w="937"/>
        <w:gridCol w:w="864"/>
        <w:gridCol w:w="144"/>
        <w:gridCol w:w="335"/>
        <w:gridCol w:w="170"/>
        <w:gridCol w:w="336"/>
        <w:gridCol w:w="65"/>
        <w:gridCol w:w="380"/>
        <w:gridCol w:w="358"/>
        <w:gridCol w:w="80"/>
        <w:gridCol w:w="272"/>
        <w:gridCol w:w="121"/>
        <w:gridCol w:w="225"/>
        <w:gridCol w:w="168"/>
        <w:gridCol w:w="400"/>
        <w:gridCol w:w="696"/>
        <w:gridCol w:w="489"/>
        <w:gridCol w:w="489"/>
        <w:gridCol w:w="489"/>
        <w:gridCol w:w="489"/>
        <w:gridCol w:w="489"/>
        <w:gridCol w:w="490"/>
        <w:gridCol w:w="755"/>
        <w:gridCol w:w="11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2" w:type="dxa"/>
            <w:tcBorders>
              <w:top w:val="nil"/>
              <w:left w:val="nil"/>
              <w:bottom w:val="nil"/>
              <w:right w:val="nil"/>
            </w:tcBorders>
            <w:shd w:val="clear" w:color="auto" w:fill="auto"/>
            <w:noWrap/>
            <w:vAlign w:val="bottom"/>
          </w:tcPr>
          <w:p>
            <w:pPr>
              <w:rPr>
                <w:rFonts w:hint="eastAsia" w:ascii="Calibri" w:hAnsi="Calibri" w:cs="Calibri"/>
                <w:i w:val="0"/>
                <w:iCs w:val="0"/>
                <w:color w:val="auto"/>
                <w:sz w:val="22"/>
                <w:szCs w:val="22"/>
                <w:u w:val="none"/>
              </w:rPr>
            </w:pPr>
          </w:p>
        </w:tc>
        <w:tc>
          <w:tcPr>
            <w:tcW w:w="1738"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886"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74"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30"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50"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41"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937"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1008"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505"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01"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38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358"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352"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346"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568"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696"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89"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89"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89"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89" w:type="dxa"/>
            <w:tcBorders>
              <w:top w:val="nil"/>
              <w:left w:val="nil"/>
              <w:bottom w:val="nil"/>
              <w:right w:val="nil"/>
            </w:tcBorders>
            <w:shd w:val="clear" w:color="auto" w:fill="auto"/>
            <w:noWrap/>
            <w:vAlign w:val="bottom"/>
          </w:tcPr>
          <w:p>
            <w:pPr>
              <w:jc w:val="right"/>
              <w:rPr>
                <w:rFonts w:hint="eastAsia" w:ascii="宋体" w:hAnsi="宋体" w:eastAsia="宋体" w:cs="宋体"/>
                <w:i w:val="0"/>
                <w:iCs w:val="0"/>
                <w:color w:val="auto"/>
                <w:sz w:val="18"/>
                <w:szCs w:val="18"/>
                <w:u w:val="none"/>
              </w:rPr>
            </w:pPr>
          </w:p>
        </w:tc>
        <w:tc>
          <w:tcPr>
            <w:tcW w:w="489"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9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75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1109"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2"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1738"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886"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74"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30"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50"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41"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937"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1008"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505"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01"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38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358"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352"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346"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568"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696"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89"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89"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89"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89"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89"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9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75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1109"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5521" w:type="dxa"/>
            <w:gridSpan w:val="3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44"/>
                <w:szCs w:val="44"/>
                <w:u w:val="none"/>
              </w:rPr>
            </w:pPr>
            <w:r>
              <w:rPr>
                <w:rFonts w:hint="eastAsia" w:ascii="宋体" w:hAnsi="宋体" w:eastAsia="宋体" w:cs="宋体"/>
                <w:b/>
                <w:bCs/>
                <w:i w:val="0"/>
                <w:iCs w:val="0"/>
                <w:color w:val="auto"/>
                <w:kern w:val="0"/>
                <w:sz w:val="44"/>
                <w:szCs w:val="44"/>
                <w:u w:val="none"/>
                <w:lang w:val="en-US" w:eastAsia="zh-CN" w:bidi="ar"/>
              </w:rPr>
              <w:t>部门收入预算总表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2"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1738"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886"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74"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30"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50"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41"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937"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1008"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505"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01"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38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358"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352"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346"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568"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696"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89"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89"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89"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89" w:type="dxa"/>
            <w:tcBorders>
              <w:top w:val="nil"/>
              <w:left w:val="nil"/>
              <w:bottom w:val="nil"/>
              <w:right w:val="nil"/>
            </w:tcBorders>
            <w:shd w:val="clear" w:color="auto" w:fill="auto"/>
            <w:noWrap/>
            <w:vAlign w:val="bottom"/>
          </w:tcPr>
          <w:p>
            <w:pPr>
              <w:jc w:val="right"/>
              <w:rPr>
                <w:rFonts w:hint="eastAsia" w:ascii="宋体" w:hAnsi="宋体" w:eastAsia="宋体" w:cs="宋体"/>
                <w:i w:val="0"/>
                <w:iCs w:val="0"/>
                <w:color w:val="auto"/>
                <w:sz w:val="18"/>
                <w:szCs w:val="18"/>
                <w:u w:val="none"/>
              </w:rPr>
            </w:pPr>
          </w:p>
        </w:tc>
        <w:tc>
          <w:tcPr>
            <w:tcW w:w="489"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9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75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1109"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52"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单位编码</w:t>
            </w:r>
          </w:p>
        </w:tc>
        <w:tc>
          <w:tcPr>
            <w:tcW w:w="1738"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单位名称</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合计</w:t>
            </w:r>
          </w:p>
        </w:tc>
        <w:tc>
          <w:tcPr>
            <w:tcW w:w="179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上年结余（转）</w:t>
            </w:r>
          </w:p>
        </w:tc>
        <w:tc>
          <w:tcPr>
            <w:tcW w:w="323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一般公共预算</w:t>
            </w:r>
          </w:p>
        </w:tc>
        <w:tc>
          <w:tcPr>
            <w:tcW w:w="162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政府性基金</w:t>
            </w:r>
          </w:p>
        </w:tc>
        <w:tc>
          <w:tcPr>
            <w:tcW w:w="696"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国有资本经营预算</w:t>
            </w: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纳入专户管理的非税</w:t>
            </w: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事业收入</w:t>
            </w:r>
          </w:p>
        </w:tc>
        <w:tc>
          <w:tcPr>
            <w:tcW w:w="489"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事业单位经营收入</w:t>
            </w:r>
          </w:p>
        </w:tc>
        <w:tc>
          <w:tcPr>
            <w:tcW w:w="489"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附属单位上缴收入</w:t>
            </w: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往来收入</w:t>
            </w:r>
          </w:p>
        </w:tc>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其他收入</w:t>
            </w:r>
          </w:p>
        </w:tc>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融资借款</w:t>
            </w:r>
          </w:p>
        </w:tc>
        <w:tc>
          <w:tcPr>
            <w:tcW w:w="1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上级补助收入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752"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73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小计</w:t>
            </w:r>
          </w:p>
        </w:tc>
        <w:tc>
          <w:tcPr>
            <w:tcW w:w="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公共预算结转</w:t>
            </w:r>
          </w:p>
        </w:tc>
        <w:tc>
          <w:tcPr>
            <w:tcW w:w="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政府性基金结转</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其他结余</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小计</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经费拨款（补助）</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纳入预算管理的非税</w:t>
            </w:r>
          </w:p>
        </w:tc>
        <w:tc>
          <w:tcPr>
            <w:tcW w:w="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上级补助</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一般债券</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小计</w:t>
            </w:r>
          </w:p>
        </w:tc>
        <w:tc>
          <w:tcPr>
            <w:tcW w:w="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本级基金</w:t>
            </w:r>
          </w:p>
        </w:tc>
        <w:tc>
          <w:tcPr>
            <w:tcW w:w="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上级基金</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专项债券</w:t>
            </w:r>
          </w:p>
        </w:tc>
        <w:tc>
          <w:tcPr>
            <w:tcW w:w="696"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89"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89"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0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52"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738"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886"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696"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489"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489"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4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4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48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4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7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110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FF0000"/>
                <w:sz w:val="18"/>
                <w:szCs w:val="18"/>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000000"/>
                <w:kern w:val="0"/>
                <w:sz w:val="18"/>
                <w:szCs w:val="18"/>
                <w:u w:val="none"/>
                <w:lang w:val="en-US" w:eastAsia="zh-CN" w:bidi="ar"/>
              </w:rPr>
              <w:t>1084.81</w:t>
            </w: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000000"/>
                <w:kern w:val="0"/>
                <w:sz w:val="18"/>
                <w:szCs w:val="18"/>
                <w:u w:val="none"/>
                <w:lang w:val="en-US" w:eastAsia="zh-CN" w:bidi="ar"/>
              </w:rPr>
              <w:t>1084.81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000000"/>
                <w:kern w:val="0"/>
                <w:sz w:val="18"/>
                <w:szCs w:val="18"/>
                <w:u w:val="none"/>
                <w:lang w:val="en-US" w:eastAsia="zh-CN" w:bidi="ar"/>
              </w:rPr>
              <w:t>1084.81</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000000"/>
                <w:kern w:val="0"/>
                <w:sz w:val="18"/>
                <w:szCs w:val="18"/>
                <w:u w:val="none"/>
                <w:lang w:val="en-US" w:eastAsia="zh-CN" w:bidi="ar"/>
              </w:rPr>
              <w:t>240</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000000"/>
                <w:kern w:val="0"/>
                <w:sz w:val="18"/>
                <w:szCs w:val="18"/>
                <w:u w:val="none"/>
                <w:lang w:val="en-US" w:eastAsia="zh-CN" w:bidi="ar"/>
              </w:rPr>
              <w:t>咸宁市人民政府国有资产监督管理委员会</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000000"/>
                <w:kern w:val="0"/>
                <w:sz w:val="18"/>
                <w:szCs w:val="18"/>
                <w:u w:val="none"/>
                <w:lang w:val="en-US" w:eastAsia="zh-CN" w:bidi="ar"/>
              </w:rPr>
              <w:t>1084.81</w:t>
            </w: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000000"/>
                <w:kern w:val="0"/>
                <w:sz w:val="18"/>
                <w:szCs w:val="18"/>
                <w:u w:val="none"/>
                <w:lang w:val="en-US" w:eastAsia="zh-CN" w:bidi="ar"/>
              </w:rPr>
              <w:t>1084.81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FF0000"/>
                <w:sz w:val="18"/>
                <w:szCs w:val="18"/>
                <w:u w:val="none"/>
              </w:rPr>
            </w:pPr>
            <w:r>
              <w:rPr>
                <w:rFonts w:hint="eastAsia" w:ascii="宋体" w:hAnsi="宋体" w:eastAsia="宋体" w:cs="宋体"/>
                <w:b/>
                <w:bCs/>
                <w:i w:val="0"/>
                <w:iCs w:val="0"/>
                <w:color w:val="000000"/>
                <w:kern w:val="0"/>
                <w:sz w:val="18"/>
                <w:szCs w:val="18"/>
                <w:u w:val="none"/>
                <w:lang w:val="en-US" w:eastAsia="zh-CN" w:bidi="ar"/>
              </w:rPr>
              <w:t>1084.81</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FF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000000"/>
                <w:kern w:val="0"/>
                <w:sz w:val="18"/>
                <w:szCs w:val="18"/>
                <w:u w:val="none"/>
                <w:lang w:val="en-US" w:eastAsia="zh-CN" w:bidi="ar"/>
              </w:rPr>
              <w:t>　240001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000000"/>
                <w:kern w:val="0"/>
                <w:sz w:val="18"/>
                <w:szCs w:val="18"/>
                <w:u w:val="none"/>
                <w:lang w:val="en-US" w:eastAsia="zh-CN" w:bidi="ar"/>
              </w:rPr>
              <w:t>　咸宁市人民政府国有资产监督管理委员会本级</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000000"/>
                <w:kern w:val="0"/>
                <w:sz w:val="18"/>
                <w:szCs w:val="18"/>
                <w:u w:val="none"/>
                <w:lang w:val="en-US" w:eastAsia="zh-CN" w:bidi="ar"/>
              </w:rPr>
              <w:t>1084.81</w:t>
            </w: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18"/>
                <w:szCs w:val="18"/>
                <w:u w:val="none"/>
              </w:rPr>
            </w:pPr>
          </w:p>
        </w:tc>
        <w:tc>
          <w:tcPr>
            <w:tcW w:w="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18"/>
                <w:szCs w:val="18"/>
                <w:u w:val="none"/>
              </w:rPr>
            </w:pPr>
          </w:p>
        </w:tc>
        <w:tc>
          <w:tcPr>
            <w:tcW w:w="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000000"/>
                <w:kern w:val="0"/>
                <w:sz w:val="18"/>
                <w:szCs w:val="18"/>
                <w:u w:val="none"/>
                <w:lang w:val="en-US" w:eastAsia="zh-CN" w:bidi="ar"/>
              </w:rPr>
              <w:t>1084.81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000000"/>
                <w:kern w:val="0"/>
                <w:sz w:val="18"/>
                <w:szCs w:val="18"/>
                <w:u w:val="none"/>
                <w:lang w:val="en-US" w:eastAsia="zh-CN" w:bidi="ar"/>
              </w:rPr>
              <w:t>1084.81</w:t>
            </w:r>
          </w:p>
        </w:tc>
        <w:tc>
          <w:tcPr>
            <w:tcW w:w="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18"/>
                <w:szCs w:val="18"/>
                <w:u w:val="none"/>
              </w:rPr>
            </w:pPr>
          </w:p>
        </w:tc>
        <w:tc>
          <w:tcPr>
            <w:tcW w:w="5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18"/>
                <w:szCs w:val="18"/>
                <w:u w:val="none"/>
              </w:rPr>
            </w:pPr>
          </w:p>
        </w:tc>
        <w:tc>
          <w:tcPr>
            <w:tcW w:w="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18"/>
                <w:szCs w:val="18"/>
                <w:u w:val="none"/>
              </w:rPr>
            </w:pPr>
          </w:p>
        </w:tc>
        <w:tc>
          <w:tcPr>
            <w:tcW w:w="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18"/>
                <w:szCs w:val="18"/>
                <w:u w:val="none"/>
              </w:rPr>
            </w:pPr>
          </w:p>
        </w:tc>
        <w:tc>
          <w:tcPr>
            <w:tcW w:w="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18"/>
                <w:szCs w:val="18"/>
                <w:u w:val="none"/>
              </w:rPr>
            </w:pPr>
          </w:p>
        </w:tc>
        <w:tc>
          <w:tcPr>
            <w:tcW w:w="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18"/>
                <w:szCs w:val="18"/>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18"/>
                <w:szCs w:val="18"/>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FF0000"/>
                <w:sz w:val="18"/>
                <w:szCs w:val="18"/>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FF0000"/>
                <w:sz w:val="18"/>
                <w:szCs w:val="18"/>
                <w:u w:val="none"/>
              </w:rPr>
            </w:pP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FF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FF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FF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FF0000"/>
          <w:spacing w:val="0"/>
          <w:sz w:val="32"/>
          <w:szCs w:val="32"/>
          <w:shd w:val="clear" w:fill="FFFFFF"/>
        </w:rPr>
      </w:pPr>
    </w:p>
    <w:tbl>
      <w:tblPr>
        <w:tblStyle w:val="9"/>
        <w:tblpPr w:leftFromText="180" w:rightFromText="180" w:vertAnchor="text" w:horzAnchor="page" w:tblpX="857" w:tblpY="212"/>
        <w:tblOverlap w:val="never"/>
        <w:tblW w:w="143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70"/>
        <w:gridCol w:w="4185"/>
        <w:gridCol w:w="855"/>
        <w:gridCol w:w="855"/>
        <w:gridCol w:w="20"/>
        <w:gridCol w:w="790"/>
        <w:gridCol w:w="810"/>
        <w:gridCol w:w="769"/>
        <w:gridCol w:w="56"/>
        <w:gridCol w:w="780"/>
        <w:gridCol w:w="59"/>
        <w:gridCol w:w="475"/>
        <w:gridCol w:w="96"/>
        <w:gridCol w:w="675"/>
        <w:gridCol w:w="630"/>
        <w:gridCol w:w="660"/>
        <w:gridCol w:w="735"/>
        <w:gridCol w:w="4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70" w:type="dxa"/>
            <w:tcBorders>
              <w:top w:val="nil"/>
              <w:left w:val="nil"/>
              <w:bottom w:val="nil"/>
              <w:right w:val="nil"/>
            </w:tcBorders>
            <w:shd w:val="clear" w:color="auto" w:fill="auto"/>
            <w:noWrap/>
            <w:vAlign w:val="bottom"/>
          </w:tcPr>
          <w:p>
            <w:pPr>
              <w:rPr>
                <w:rFonts w:hint="eastAsia" w:ascii="Calibri" w:hAnsi="Calibri" w:cs="Calibri"/>
                <w:i w:val="0"/>
                <w:iCs w:val="0"/>
                <w:color w:val="auto"/>
                <w:sz w:val="22"/>
                <w:szCs w:val="22"/>
                <w:u w:val="none"/>
              </w:rPr>
            </w:pPr>
          </w:p>
        </w:tc>
        <w:tc>
          <w:tcPr>
            <w:tcW w:w="418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85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85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810"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81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825"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78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630" w:type="dxa"/>
            <w:gridSpan w:val="3"/>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67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63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1806" w:type="dxa"/>
            <w:gridSpan w:val="3"/>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7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18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85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85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810"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81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825"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78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630" w:type="dxa"/>
            <w:gridSpan w:val="3"/>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67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63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66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73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11"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4331" w:type="dxa"/>
            <w:gridSpan w:val="1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44"/>
                <w:szCs w:val="44"/>
                <w:u w:val="none"/>
              </w:rPr>
            </w:pPr>
            <w:r>
              <w:rPr>
                <w:rFonts w:hint="eastAsia" w:ascii="宋体" w:hAnsi="宋体" w:eastAsia="宋体" w:cs="宋体"/>
                <w:b/>
                <w:bCs/>
                <w:i w:val="0"/>
                <w:iCs w:val="0"/>
                <w:color w:val="auto"/>
                <w:kern w:val="0"/>
                <w:sz w:val="44"/>
                <w:szCs w:val="44"/>
                <w:u w:val="none"/>
                <w:lang w:val="en-US" w:eastAsia="zh-CN" w:bidi="ar"/>
              </w:rPr>
              <w:t>部门支出预算总表（按功能科目到项级）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7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418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85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85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810"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81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825" w:type="dxa"/>
            <w:gridSpan w:val="2"/>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78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630" w:type="dxa"/>
            <w:gridSpan w:val="3"/>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67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63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66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1146"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5" w:hRule="atLeast"/>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单位编码</w:t>
            </w:r>
          </w:p>
        </w:tc>
        <w:tc>
          <w:tcPr>
            <w:tcW w:w="418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单位名称（科目）</w:t>
            </w:r>
          </w:p>
        </w:tc>
        <w:tc>
          <w:tcPr>
            <w:tcW w:w="85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合计</w:t>
            </w:r>
          </w:p>
        </w:tc>
        <w:tc>
          <w:tcPr>
            <w:tcW w:w="24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基本保障支出</w:t>
            </w:r>
          </w:p>
        </w:tc>
        <w:tc>
          <w:tcPr>
            <w:tcW w:w="2910"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项目支出</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项目支出不可预见费</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事业单位经营支出</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对附属单位补助支出</w:t>
            </w:r>
          </w:p>
        </w:tc>
        <w:tc>
          <w:tcPr>
            <w:tcW w:w="4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上缴上级支出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18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5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小计</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人员经费支出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标准公用经费支出</w:t>
            </w:r>
          </w:p>
        </w:tc>
        <w:tc>
          <w:tcPr>
            <w:tcW w:w="7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小计</w:t>
            </w: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经常性项目</w:t>
            </w:r>
          </w:p>
        </w:tc>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当年一次性项目</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跨年一次性项目</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70"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4185"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8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7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70" w:type="dxa"/>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b/>
                <w:bCs/>
                <w:i w:val="0"/>
                <w:iCs w:val="0"/>
                <w:color w:val="auto"/>
                <w:sz w:val="18"/>
                <w:szCs w:val="18"/>
                <w:u w:val="none"/>
              </w:rPr>
            </w:pPr>
          </w:p>
        </w:tc>
        <w:tc>
          <w:tcPr>
            <w:tcW w:w="4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合计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1084.81</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867.81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751.15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116.66</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217.00</w:t>
            </w: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217.00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240</w:t>
            </w:r>
          </w:p>
        </w:tc>
        <w:tc>
          <w:tcPr>
            <w:tcW w:w="4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咸宁市人民政府国有资产监督管理委员会</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1084.81</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867.81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217.00</w:t>
            </w: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217.00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240001</w:t>
            </w:r>
          </w:p>
        </w:tc>
        <w:tc>
          <w:tcPr>
            <w:tcW w:w="4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咸宁市人民政府国有资产监督管理委员会本级</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1084.81</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867.81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217.00</w:t>
            </w: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217.00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208</w:t>
            </w:r>
          </w:p>
        </w:tc>
        <w:tc>
          <w:tcPr>
            <w:tcW w:w="4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社会保障和就业支出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101.81</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101.81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20805</w:t>
            </w:r>
          </w:p>
        </w:tc>
        <w:tc>
          <w:tcPr>
            <w:tcW w:w="4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行政事业单位养老支出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100.75</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100.75</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14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2080505</w:t>
            </w:r>
          </w:p>
        </w:tc>
        <w:tc>
          <w:tcPr>
            <w:tcW w:w="4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机关事业单位基本养老保险缴费支出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76.67</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76.67</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76.67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2080506</w:t>
            </w:r>
          </w:p>
        </w:tc>
        <w:tc>
          <w:tcPr>
            <w:tcW w:w="4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机关事业单位职业年金缴费支出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24.08</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24.08</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24.08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20899</w:t>
            </w:r>
          </w:p>
        </w:tc>
        <w:tc>
          <w:tcPr>
            <w:tcW w:w="4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其他社会保障和就业支出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1.07</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1.07</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2089999</w:t>
            </w:r>
          </w:p>
        </w:tc>
        <w:tc>
          <w:tcPr>
            <w:tcW w:w="4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其他社会保障和就业支出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1.07</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1.07</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210</w:t>
            </w:r>
          </w:p>
        </w:tc>
        <w:tc>
          <w:tcPr>
            <w:tcW w:w="4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卫生健康支出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37.07</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37.07</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21011</w:t>
            </w:r>
          </w:p>
        </w:tc>
        <w:tc>
          <w:tcPr>
            <w:tcW w:w="4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行政事业单位医疗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37.07</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37.07</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2101101</w:t>
            </w:r>
          </w:p>
        </w:tc>
        <w:tc>
          <w:tcPr>
            <w:tcW w:w="4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行政单位医疗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32.89</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32.89</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32.89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2101103</w:t>
            </w:r>
          </w:p>
        </w:tc>
        <w:tc>
          <w:tcPr>
            <w:tcW w:w="4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公务员医疗补助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4.18</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4.18</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215</w:t>
            </w:r>
          </w:p>
        </w:tc>
        <w:tc>
          <w:tcPr>
            <w:tcW w:w="4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资源勘探工业信息等支出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866.92</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649.92</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217.00</w:t>
            </w: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217.00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21507</w:t>
            </w:r>
          </w:p>
        </w:tc>
        <w:tc>
          <w:tcPr>
            <w:tcW w:w="4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国有资产监管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866.92</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649.92</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217.00</w:t>
            </w: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217.00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2150701</w:t>
            </w:r>
          </w:p>
        </w:tc>
        <w:tc>
          <w:tcPr>
            <w:tcW w:w="4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行政运行</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649.92</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649.92</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533.26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116.66</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4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2150799</w:t>
            </w:r>
          </w:p>
        </w:tc>
        <w:tc>
          <w:tcPr>
            <w:tcW w:w="4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其他国有资产监管支出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217.00</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217.00</w:t>
            </w: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217.00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4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221</w:t>
            </w:r>
          </w:p>
        </w:tc>
        <w:tc>
          <w:tcPr>
            <w:tcW w:w="4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住房保障支出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79.01</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79.01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4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22102</w:t>
            </w:r>
          </w:p>
        </w:tc>
        <w:tc>
          <w:tcPr>
            <w:tcW w:w="4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住房改革支出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79.01</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79.01</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4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2210201</w:t>
            </w:r>
          </w:p>
        </w:tc>
        <w:tc>
          <w:tcPr>
            <w:tcW w:w="418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住房公积金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66.70</w:t>
            </w:r>
          </w:p>
        </w:tc>
        <w:tc>
          <w:tcPr>
            <w:tcW w:w="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66.70</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66.70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rPr>
            </w:pP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FF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FF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FF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FF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FF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FF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FF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FF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FF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FF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FF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FF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FF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FF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FF0000"/>
          <w:spacing w:val="0"/>
          <w:sz w:val="32"/>
          <w:szCs w:val="32"/>
          <w:shd w:val="clear" w:fill="FFFFFF"/>
        </w:rPr>
      </w:pPr>
    </w:p>
    <w:p>
      <w:pPr>
        <w:pStyle w:val="5"/>
        <w:rPr>
          <w:rFonts w:hint="eastAsi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FF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caps w:val="0"/>
          <w:color w:val="FF0000"/>
          <w:spacing w:val="0"/>
          <w:sz w:val="32"/>
          <w:szCs w:val="32"/>
          <w:shd w:val="clear" w:fill="FFFFFF"/>
        </w:rPr>
      </w:pPr>
    </w:p>
    <w:p>
      <w:pPr>
        <w:pStyle w:val="5"/>
        <w:rPr>
          <w:rFonts w:hint="eastAsia"/>
        </w:rPr>
      </w:pPr>
    </w:p>
    <w:tbl>
      <w:tblPr>
        <w:tblStyle w:val="9"/>
        <w:tblW w:w="132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45"/>
        <w:gridCol w:w="3360"/>
        <w:gridCol w:w="2895"/>
        <w:gridCol w:w="3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45" w:type="dxa"/>
            <w:tcBorders>
              <w:top w:val="nil"/>
              <w:left w:val="nil"/>
              <w:bottom w:val="nil"/>
              <w:right w:val="nil"/>
            </w:tcBorders>
            <w:shd w:val="clear" w:color="auto" w:fill="auto"/>
            <w:noWrap/>
            <w:vAlign w:val="bottom"/>
          </w:tcPr>
          <w:p>
            <w:pPr>
              <w:rPr>
                <w:rFonts w:hint="eastAsia" w:ascii="Calibri" w:hAnsi="Calibri" w:cs="Calibri"/>
                <w:i w:val="0"/>
                <w:iCs w:val="0"/>
                <w:color w:val="auto"/>
                <w:sz w:val="22"/>
                <w:szCs w:val="22"/>
                <w:u w:val="none"/>
              </w:rPr>
            </w:pPr>
          </w:p>
        </w:tc>
        <w:tc>
          <w:tcPr>
            <w:tcW w:w="336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289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364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44"/>
                <w:szCs w:val="44"/>
                <w:u w:val="none"/>
              </w:rPr>
            </w:pPr>
            <w:r>
              <w:rPr>
                <w:rFonts w:hint="eastAsia" w:ascii="宋体" w:hAnsi="宋体" w:eastAsia="宋体" w:cs="宋体"/>
                <w:b/>
                <w:bCs/>
                <w:i w:val="0"/>
                <w:iCs w:val="0"/>
                <w:color w:val="auto"/>
                <w:kern w:val="0"/>
                <w:sz w:val="44"/>
                <w:szCs w:val="44"/>
                <w:u w:val="none"/>
                <w:lang w:val="en-US" w:eastAsia="zh-CN" w:bidi="ar"/>
              </w:rPr>
              <w:t>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收入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预算数</w:t>
            </w: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项目（按经济分类）</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一、一般公共预算拨款</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1084.81</w:t>
            </w: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一、基本支出</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867.81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本级一般公共预算拨款</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1084.81</w:t>
            </w: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人员支出</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751.15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上级补助</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标准公用经费支出</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二、政府性基金拨款</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二、项目支出</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本级基金</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三、项目支出不可预见费</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上级基金</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四、事业单位经营支出</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五、对附属单位补助支出</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六、上缴上级支出</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本年收入合计：</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1084.81</w:t>
            </w: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本年支出合计：</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1084.81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0"/>
                <w:szCs w:val="20"/>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收入总计：</w:t>
            </w:r>
          </w:p>
        </w:tc>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1084.81</w:t>
            </w: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支出总计</w:t>
            </w: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1084.81</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FF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FF0000"/>
          <w:spacing w:val="0"/>
          <w:sz w:val="32"/>
          <w:szCs w:val="32"/>
          <w:shd w:val="clear" w:fill="FFFFFF"/>
        </w:rPr>
      </w:pPr>
    </w:p>
    <w:p>
      <w:pPr>
        <w:keepNext w:val="0"/>
        <w:keepLines w:val="0"/>
        <w:widowControl/>
        <w:suppressLineNumbers w:val="0"/>
        <w:jc w:val="center"/>
        <w:textAlignment w:val="bottom"/>
        <w:rPr>
          <w:rFonts w:hint="eastAsia" w:ascii="宋体" w:hAnsi="宋体" w:eastAsia="宋体" w:cs="宋体"/>
          <w:i w:val="0"/>
          <w:iCs w:val="0"/>
          <w:color w:val="FF0000"/>
          <w:kern w:val="0"/>
          <w:sz w:val="44"/>
          <w:szCs w:val="44"/>
          <w:u w:val="none"/>
          <w:lang w:val="en-US" w:eastAsia="zh-CN" w:bidi="ar"/>
        </w:rPr>
        <w:sectPr>
          <w:pgSz w:w="16838" w:h="11906" w:orient="landscape"/>
          <w:pgMar w:top="720" w:right="720" w:bottom="720" w:left="720" w:header="851" w:footer="992" w:gutter="0"/>
          <w:cols w:space="425" w:num="1"/>
          <w:docGrid w:type="lines" w:linePitch="312" w:charSpace="0"/>
        </w:sectPr>
      </w:pPr>
    </w:p>
    <w:tbl>
      <w:tblPr>
        <w:tblStyle w:val="9"/>
        <w:tblpPr w:leftFromText="180" w:rightFromText="180" w:vertAnchor="text" w:horzAnchor="page" w:tblpX="752" w:tblpY="115"/>
        <w:tblOverlap w:val="never"/>
        <w:tblW w:w="107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5"/>
        <w:gridCol w:w="2985"/>
        <w:gridCol w:w="1005"/>
        <w:gridCol w:w="855"/>
        <w:gridCol w:w="900"/>
        <w:gridCol w:w="825"/>
        <w:gridCol w:w="870"/>
        <w:gridCol w:w="570"/>
        <w:gridCol w:w="540"/>
        <w:gridCol w:w="450"/>
        <w:gridCol w:w="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10725" w:type="dxa"/>
            <w:gridSpan w:val="11"/>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auto"/>
                <w:sz w:val="44"/>
                <w:szCs w:val="44"/>
                <w:u w:val="none"/>
              </w:rPr>
            </w:pPr>
            <w:r>
              <w:rPr>
                <w:rFonts w:hint="eastAsia" w:ascii="宋体" w:hAnsi="宋体" w:eastAsia="宋体" w:cs="宋体"/>
                <w:i w:val="0"/>
                <w:iCs w:val="0"/>
                <w:color w:val="auto"/>
                <w:kern w:val="0"/>
                <w:sz w:val="44"/>
                <w:szCs w:val="44"/>
                <w:u w:val="none"/>
                <w:lang w:val="en-US" w:eastAsia="zh-CN" w:bidi="ar"/>
              </w:rPr>
              <w:t>一般公共预算支出表（按功能科目到项级）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133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298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100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85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90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82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87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1950" w:type="dxa"/>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单位编码</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单位名称（科目）</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合计</w:t>
            </w: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基本保障支出</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项目支出</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项目支出不可预见费</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事业单位经营支出</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对附属单位补助支出</w:t>
            </w: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上缴上级支出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人员经费支出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标准公用经费支出</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auto"/>
                <w:sz w:val="20"/>
                <w:szCs w:val="20"/>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合计</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1084.81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867.81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751.15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116.66</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217.00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240</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咸宁市人民政府国有资产监督管理委员会</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1084.81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867.81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751.15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116.66</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217.00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240001</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咸宁市人民政府国有资产监督管理委员会本级</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1084.81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867.81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751.15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116.66</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217.00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208</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社会保障和就业支出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101.81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101.81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101.81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20805</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行政事业单位养老支出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100.75</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100.75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100.75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2080505</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机关事业单位基本养老保险缴费支出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76.67</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76.67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76.67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2080506</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机关事业单位职业年金缴费支出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24.08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24.08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24.08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20899</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其他社会保障和就业支出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1.07</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2089999</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其他社会保障和就业支出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1.07</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210</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卫生健康支出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37.07</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37.07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37.07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21011</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行政事业单位医疗</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37.07</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37.07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37.07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2101101</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行政单位医疗</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32.89</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32.89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32.89</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2101103</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公务员医疗补助</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215</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资源勘探工业信息等支出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866.92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649.92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533.26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116.66</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217.00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21507</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国有资产监管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866.92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649.92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533.26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116.66</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217.00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2150701</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行政运行</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649.92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649.92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533.26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116.66</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2150799</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其他国有资产监管支出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217.00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217.00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221</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住房保障支出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79.01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79.01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79.01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22102</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住房改革支出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79.01</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79.01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79.01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2210201</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住房公积金</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66.70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66.70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66.70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r>
    </w:tbl>
    <w:tbl>
      <w:tblPr>
        <w:tblStyle w:val="9"/>
        <w:tblW w:w="99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12"/>
        <w:gridCol w:w="6441"/>
        <w:gridCol w:w="16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9975"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44"/>
                <w:szCs w:val="44"/>
                <w:u w:val="none"/>
              </w:rPr>
            </w:pPr>
            <w:r>
              <w:rPr>
                <w:rFonts w:hint="eastAsia" w:ascii="宋体" w:hAnsi="宋体" w:eastAsia="宋体" w:cs="宋体"/>
                <w:b/>
                <w:bCs/>
                <w:i w:val="0"/>
                <w:iCs w:val="0"/>
                <w:color w:val="auto"/>
                <w:kern w:val="0"/>
                <w:sz w:val="44"/>
                <w:szCs w:val="44"/>
                <w:u w:val="none"/>
                <w:lang w:val="en-US" w:eastAsia="zh-CN" w:bidi="ar"/>
              </w:rPr>
              <w:t>一般公共预算基本支出表（按经济科目到款级）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0" w:type="auto"/>
            <w:tcBorders>
              <w:top w:val="nil"/>
              <w:left w:val="nil"/>
              <w:bottom w:val="nil"/>
              <w:right w:val="nil"/>
            </w:tcBorders>
            <w:shd w:val="clear" w:color="auto" w:fill="auto"/>
            <w:noWrap/>
            <w:vAlign w:val="bottom"/>
          </w:tcPr>
          <w:p>
            <w:pPr>
              <w:rPr>
                <w:rFonts w:hint="eastAsia"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单位名称（科目）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auto"/>
                <w:sz w:val="20"/>
                <w:szCs w:val="20"/>
                <w:u w:val="none"/>
              </w:rPr>
            </w:pP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合计</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867.81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240</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咸宁市人民政府国有资产监督管理委员会</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867.81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240001</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咸宁市人民政府国有资产监督管理委员会本级</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867.81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301</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工资福利支出</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744.15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30101</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基本工资</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30102</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津贴补贴</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30103</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奖金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30107</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绩效工资</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30108</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机关事业单位基本养老保险缴费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30109</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职业年金缴费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30110</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职工基本医疗保险缴费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30111</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公务员医疗补助缴费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30112</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其他社会保障缴费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30113</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住房公积金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30199</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其他工资福利支出</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302</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商品和服务支出</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111.66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30201</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办公费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30202</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印刷费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30206</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电费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30207</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邮电费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30211</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差旅费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30213</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维修（护）费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30215</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会议费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30216</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培训费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30217</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公务接待费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30226</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劳务费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30227</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委托业务费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30228</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工会经费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30229</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福利费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30231</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公务用车运行维护费</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30239</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其他交通费用</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30299</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其他商品和服务支出</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303</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对个人和家庭的补助</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30305</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生活补助</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30307</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医疗费补助</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30309</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奖励金</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　　310</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　　资本性支出</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31002</w:t>
            </w:r>
          </w:p>
        </w:tc>
        <w:tc>
          <w:tcPr>
            <w:tcW w:w="6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办公设备购置</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5.00</w:t>
            </w:r>
          </w:p>
        </w:tc>
      </w:tr>
    </w:tbl>
    <w:p>
      <w:pPr>
        <w:pStyle w:val="5"/>
        <w:rPr>
          <w:rFonts w:hint="eastAsia"/>
          <w:color w:val="FF0000"/>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FF0000"/>
          <w:spacing w:val="0"/>
          <w:sz w:val="32"/>
          <w:szCs w:val="32"/>
          <w:shd w:val="clear" w:fill="FFFFFF"/>
        </w:rPr>
      </w:pPr>
    </w:p>
    <w:tbl>
      <w:tblPr>
        <w:tblStyle w:val="9"/>
        <w:tblW w:w="102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81"/>
        <w:gridCol w:w="30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245"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44"/>
                <w:szCs w:val="44"/>
                <w:u w:val="none"/>
              </w:rPr>
            </w:pPr>
            <w:r>
              <w:rPr>
                <w:rFonts w:hint="eastAsia" w:ascii="宋体" w:hAnsi="宋体" w:eastAsia="宋体" w:cs="宋体"/>
                <w:b/>
                <w:bCs/>
                <w:i w:val="0"/>
                <w:iCs w:val="0"/>
                <w:color w:val="auto"/>
                <w:kern w:val="0"/>
                <w:sz w:val="44"/>
                <w:szCs w:val="44"/>
                <w:u w:val="none"/>
                <w:lang w:val="en-US" w:eastAsia="zh-CN" w:bidi="ar"/>
              </w:rPr>
              <w:t>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nil"/>
              <w:left w:val="nil"/>
              <w:bottom w:val="nil"/>
              <w:right w:val="nil"/>
            </w:tcBorders>
            <w:shd w:val="clear" w:color="auto" w:fill="auto"/>
            <w:noWrap/>
            <w:vAlign w:val="center"/>
          </w:tcPr>
          <w:p>
            <w:pPr>
              <w:jc w:val="center"/>
              <w:rPr>
                <w:rFonts w:hint="eastAsia"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合计</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1.因公出国（境）费用</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2.公务接待费</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3.公车购置及运行维护费</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其中：公务用车运行维护费</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7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公务用车购置</w:t>
            </w:r>
          </w:p>
        </w:tc>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auto"/>
                <w:sz w:val="20"/>
                <w:szCs w:val="20"/>
                <w:u w:val="none"/>
              </w:rPr>
            </w:pPr>
          </w:p>
        </w:tc>
      </w:tr>
    </w:tbl>
    <w:p>
      <w:pPr>
        <w:rPr>
          <w:rFonts w:hint="eastAsia" w:ascii="Calibri" w:hAnsi="Calibri" w:cs="Calibri"/>
          <w:i w:val="0"/>
          <w:iCs w:val="0"/>
          <w:color w:val="FF0000"/>
          <w:sz w:val="22"/>
          <w:szCs w:val="22"/>
          <w:u w:val="none"/>
        </w:rPr>
        <w:sectPr>
          <w:pgSz w:w="11906" w:h="16838"/>
          <w:pgMar w:top="720" w:right="720" w:bottom="720" w:left="720" w:header="851" w:footer="992" w:gutter="0"/>
          <w:cols w:space="425" w:num="1"/>
          <w:docGrid w:type="lines" w:linePitch="312" w:charSpace="0"/>
        </w:sectPr>
      </w:pPr>
    </w:p>
    <w:tbl>
      <w:tblPr>
        <w:tblStyle w:val="9"/>
        <w:tblW w:w="137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975"/>
        <w:gridCol w:w="780"/>
        <w:gridCol w:w="795"/>
        <w:gridCol w:w="1230"/>
        <w:gridCol w:w="1230"/>
        <w:gridCol w:w="960"/>
        <w:gridCol w:w="1110"/>
        <w:gridCol w:w="1035"/>
        <w:gridCol w:w="885"/>
        <w:gridCol w:w="1005"/>
        <w:gridCol w:w="930"/>
        <w:gridCol w:w="1035"/>
        <w:gridCol w:w="1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5" w:type="dxa"/>
            <w:tcBorders>
              <w:top w:val="nil"/>
              <w:left w:val="nil"/>
              <w:bottom w:val="nil"/>
              <w:right w:val="nil"/>
            </w:tcBorders>
            <w:shd w:val="clear" w:color="auto" w:fill="auto"/>
            <w:noWrap/>
            <w:vAlign w:val="bottom"/>
          </w:tcPr>
          <w:p>
            <w:pPr>
              <w:pStyle w:val="4"/>
              <w:rPr>
                <w:rFonts w:hint="eastAsia"/>
                <w:color w:val="auto"/>
              </w:rPr>
            </w:pPr>
          </w:p>
        </w:tc>
        <w:tc>
          <w:tcPr>
            <w:tcW w:w="97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78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79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123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123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96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111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103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88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100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930"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1035" w:type="dxa"/>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945"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gridSpan w:val="1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44"/>
                <w:szCs w:val="44"/>
                <w:u w:val="none"/>
              </w:rPr>
            </w:pPr>
            <w:r>
              <w:rPr>
                <w:rFonts w:hint="eastAsia" w:ascii="宋体" w:hAnsi="宋体" w:eastAsia="宋体" w:cs="宋体"/>
                <w:b/>
                <w:bCs/>
                <w:i w:val="0"/>
                <w:iCs w:val="0"/>
                <w:color w:val="auto"/>
                <w:kern w:val="0"/>
                <w:sz w:val="44"/>
                <w:szCs w:val="44"/>
                <w:u w:val="none"/>
                <w:lang w:val="en-US" w:eastAsia="zh-CN" w:bidi="ar"/>
              </w:rPr>
              <w:t>政府性基金预算支出表（按功能科目到项级）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rPr>
                <w:rFonts w:hint="default" w:ascii="Calibri" w:hAnsi="Calibri" w:cs="Calibri"/>
                <w:i w:val="0"/>
                <w:iCs w:val="0"/>
                <w:color w:val="auto"/>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单位编码</w:t>
            </w:r>
          </w:p>
        </w:tc>
        <w:tc>
          <w:tcPr>
            <w:tcW w:w="97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单位名称（科目）</w:t>
            </w:r>
          </w:p>
        </w:tc>
        <w:tc>
          <w:tcPr>
            <w:tcW w:w="7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基本保障支出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项目支出</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项目支出不可预见费</w:t>
            </w:r>
          </w:p>
        </w:tc>
        <w:tc>
          <w:tcPr>
            <w:tcW w:w="93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事业单位经营支出</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对附属单位补助支出</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上缴上级支出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7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人员经费支出</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标准公用经费支出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经常性项目</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当年一次性项目</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跨年一次性项目</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3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5"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975"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7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0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9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0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9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240001</w:t>
            </w:r>
          </w:p>
        </w:tc>
        <w:tc>
          <w:tcPr>
            <w:tcW w:w="975"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lang w:eastAsia="zh-CN"/>
              </w:rPr>
            </w:pPr>
            <w:r>
              <w:rPr>
                <w:rFonts w:hint="eastAsia" w:ascii="宋体" w:hAnsi="宋体" w:eastAsia="宋体" w:cs="宋体"/>
                <w:i w:val="0"/>
                <w:iCs w:val="0"/>
                <w:color w:val="auto"/>
                <w:sz w:val="18"/>
                <w:szCs w:val="18"/>
                <w:u w:val="none"/>
                <w:lang w:eastAsia="zh-CN"/>
              </w:rPr>
              <w:t>市国资委</w:t>
            </w:r>
          </w:p>
        </w:tc>
        <w:tc>
          <w:tcPr>
            <w:tcW w:w="780" w:type="dxa"/>
            <w:tcBorders>
              <w:top w:val="single" w:color="000000" w:sz="4" w:space="0"/>
              <w:left w:val="nil"/>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0</w:t>
            </w:r>
          </w:p>
        </w:tc>
        <w:tc>
          <w:tcPr>
            <w:tcW w:w="795" w:type="dxa"/>
            <w:tcBorders>
              <w:top w:val="single" w:color="000000" w:sz="4" w:space="0"/>
              <w:left w:val="nil"/>
              <w:bottom w:val="single" w:color="000000" w:sz="4" w:space="0"/>
              <w:right w:val="nil"/>
            </w:tcBorders>
            <w:shd w:val="clear" w:color="auto" w:fill="auto"/>
            <w:vAlign w:val="center"/>
          </w:tcPr>
          <w:p>
            <w:pPr>
              <w:jc w:val="right"/>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0</w:t>
            </w:r>
          </w:p>
        </w:tc>
        <w:tc>
          <w:tcPr>
            <w:tcW w:w="1230" w:type="dxa"/>
            <w:tcBorders>
              <w:top w:val="single" w:color="000000" w:sz="4" w:space="0"/>
              <w:left w:val="single" w:color="000000" w:sz="4" w:space="0"/>
              <w:bottom w:val="single" w:color="000000" w:sz="4" w:space="0"/>
              <w:right w:val="nil"/>
            </w:tcBorders>
            <w:shd w:val="clear" w:color="auto" w:fill="auto"/>
            <w:vAlign w:val="center"/>
          </w:tcPr>
          <w:p>
            <w:pPr>
              <w:jc w:val="right"/>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0</w:t>
            </w:r>
          </w:p>
        </w:tc>
        <w:tc>
          <w:tcPr>
            <w:tcW w:w="1230" w:type="dxa"/>
            <w:tcBorders>
              <w:top w:val="single" w:color="000000" w:sz="4" w:space="0"/>
              <w:left w:val="single" w:color="000000" w:sz="4" w:space="0"/>
              <w:bottom w:val="single" w:color="000000" w:sz="4" w:space="0"/>
              <w:right w:val="nil"/>
            </w:tcBorders>
            <w:shd w:val="clear" w:color="auto" w:fill="auto"/>
            <w:vAlign w:val="center"/>
          </w:tcPr>
          <w:p>
            <w:pPr>
              <w:jc w:val="right"/>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0</w:t>
            </w:r>
          </w:p>
        </w:tc>
        <w:tc>
          <w:tcPr>
            <w:tcW w:w="960" w:type="dxa"/>
            <w:tcBorders>
              <w:top w:val="single" w:color="000000" w:sz="4" w:space="0"/>
              <w:left w:val="single" w:color="000000" w:sz="4" w:space="0"/>
              <w:bottom w:val="single" w:color="000000" w:sz="4" w:space="0"/>
              <w:right w:val="nil"/>
            </w:tcBorders>
            <w:shd w:val="clear" w:color="auto" w:fill="auto"/>
            <w:vAlign w:val="center"/>
          </w:tcPr>
          <w:p>
            <w:pPr>
              <w:jc w:val="right"/>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0</w:t>
            </w:r>
          </w:p>
        </w:tc>
        <w:tc>
          <w:tcPr>
            <w:tcW w:w="1110" w:type="dxa"/>
            <w:tcBorders>
              <w:top w:val="single" w:color="000000" w:sz="4" w:space="0"/>
              <w:left w:val="single" w:color="000000" w:sz="4" w:space="0"/>
              <w:bottom w:val="single" w:color="000000" w:sz="4" w:space="0"/>
              <w:right w:val="nil"/>
            </w:tcBorders>
            <w:shd w:val="clear" w:color="auto" w:fill="auto"/>
            <w:vAlign w:val="center"/>
          </w:tcPr>
          <w:p>
            <w:pPr>
              <w:jc w:val="right"/>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0</w:t>
            </w:r>
          </w:p>
        </w:tc>
        <w:tc>
          <w:tcPr>
            <w:tcW w:w="1035" w:type="dxa"/>
            <w:tcBorders>
              <w:top w:val="single" w:color="000000" w:sz="4" w:space="0"/>
              <w:left w:val="single" w:color="000000" w:sz="4" w:space="0"/>
              <w:bottom w:val="single" w:color="000000" w:sz="4" w:space="0"/>
              <w:right w:val="nil"/>
            </w:tcBorders>
            <w:shd w:val="clear" w:color="auto" w:fill="auto"/>
            <w:vAlign w:val="center"/>
          </w:tcPr>
          <w:p>
            <w:pPr>
              <w:jc w:val="right"/>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0</w:t>
            </w:r>
          </w:p>
        </w:tc>
        <w:tc>
          <w:tcPr>
            <w:tcW w:w="885" w:type="dxa"/>
            <w:tcBorders>
              <w:top w:val="single" w:color="000000" w:sz="4" w:space="0"/>
              <w:left w:val="single" w:color="000000" w:sz="4" w:space="0"/>
              <w:bottom w:val="single" w:color="000000" w:sz="4" w:space="0"/>
              <w:right w:val="nil"/>
            </w:tcBorders>
            <w:shd w:val="clear" w:color="auto" w:fill="auto"/>
            <w:vAlign w:val="center"/>
          </w:tcPr>
          <w:p>
            <w:pPr>
              <w:jc w:val="right"/>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0</w:t>
            </w:r>
          </w:p>
        </w:tc>
        <w:tc>
          <w:tcPr>
            <w:tcW w:w="930" w:type="dxa"/>
            <w:tcBorders>
              <w:top w:val="single" w:color="000000" w:sz="4" w:space="0"/>
              <w:left w:val="nil"/>
              <w:bottom w:val="single" w:color="000000" w:sz="4" w:space="0"/>
              <w:right w:val="nil"/>
            </w:tcBorders>
            <w:shd w:val="clear" w:color="auto" w:fill="auto"/>
            <w:vAlign w:val="center"/>
          </w:tcPr>
          <w:p>
            <w:pPr>
              <w:jc w:val="right"/>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0</w:t>
            </w:r>
          </w:p>
        </w:tc>
        <w:tc>
          <w:tcPr>
            <w:tcW w:w="1035" w:type="dxa"/>
            <w:tcBorders>
              <w:top w:val="single" w:color="000000" w:sz="4" w:space="0"/>
              <w:left w:val="single" w:color="000000" w:sz="4" w:space="0"/>
              <w:bottom w:val="single" w:color="000000" w:sz="4" w:space="0"/>
              <w:right w:val="nil"/>
            </w:tcBorders>
            <w:shd w:val="clear" w:color="auto" w:fill="auto"/>
            <w:vAlign w:val="center"/>
          </w:tcPr>
          <w:p>
            <w:pPr>
              <w:jc w:val="right"/>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0</w:t>
            </w:r>
          </w:p>
        </w:tc>
      </w:tr>
    </w:tbl>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FF0000"/>
          <w:spacing w:val="0"/>
          <w:sz w:val="32"/>
          <w:szCs w:val="32"/>
          <w:shd w:val="clear" w:fill="FFFFFF"/>
        </w:rPr>
        <w:sectPr>
          <w:pgSz w:w="16838" w:h="11906" w:orient="landscape"/>
          <w:pgMar w:top="720" w:right="720" w:bottom="720" w:left="720" w:header="851" w:footer="992" w:gutter="0"/>
          <w:cols w:space="425" w:num="1"/>
          <w:docGrid w:type="lines" w:linePitch="312" w:charSpace="0"/>
        </w:sectPr>
      </w:pP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FF0000"/>
          <w:spacing w:val="0"/>
          <w:sz w:val="32"/>
          <w:szCs w:val="32"/>
          <w:shd w:val="clear" w:fill="FFFFFF"/>
        </w:rPr>
      </w:pPr>
    </w:p>
    <w:p>
      <w:pPr>
        <w:pStyle w:val="5"/>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i w:val="0"/>
          <w:caps w:val="0"/>
          <w:color w:val="auto"/>
          <w:spacing w:val="0"/>
          <w:sz w:val="36"/>
          <w:szCs w:val="36"/>
          <w:shd w:val="clear" w:fill="FFFFFF"/>
        </w:rPr>
      </w:pPr>
      <w:r>
        <w:rPr>
          <w:rFonts w:hint="eastAsia" w:ascii="黑体" w:hAnsi="黑体" w:eastAsia="黑体" w:cs="黑体"/>
          <w:b w:val="0"/>
          <w:bCs w:val="0"/>
          <w:i w:val="0"/>
          <w:caps w:val="0"/>
          <w:color w:val="auto"/>
          <w:spacing w:val="0"/>
          <w:sz w:val="36"/>
          <w:szCs w:val="36"/>
          <w:shd w:val="clear" w:fill="FFFFFF"/>
          <w:lang w:val="en-US" w:eastAsia="zh-CN"/>
        </w:rPr>
        <w:t xml:space="preserve">第三部分  </w:t>
      </w:r>
      <w:r>
        <w:rPr>
          <w:rFonts w:hint="eastAsia" w:ascii="黑体" w:hAnsi="黑体" w:eastAsia="黑体" w:cs="黑体"/>
          <w:b w:val="0"/>
          <w:bCs w:val="0"/>
          <w:color w:val="auto"/>
          <w:sz w:val="36"/>
          <w:szCs w:val="36"/>
          <w:lang w:val="en-US" w:eastAsia="zh-CN"/>
        </w:rPr>
        <w:t>咸宁市政府国资委</w:t>
      </w:r>
      <w:r>
        <w:rPr>
          <w:rFonts w:hint="eastAsia" w:ascii="黑体" w:hAnsi="黑体" w:eastAsia="黑体" w:cs="黑体"/>
          <w:b w:val="0"/>
          <w:bCs w:val="0"/>
          <w:i w:val="0"/>
          <w:caps w:val="0"/>
          <w:color w:val="auto"/>
          <w:spacing w:val="0"/>
          <w:sz w:val="36"/>
          <w:szCs w:val="36"/>
          <w:shd w:val="clear" w:fill="FFFFFF"/>
        </w:rPr>
        <w:t>202</w:t>
      </w:r>
      <w:r>
        <w:rPr>
          <w:rFonts w:hint="eastAsia" w:ascii="黑体" w:hAnsi="黑体" w:eastAsia="黑体" w:cs="黑体"/>
          <w:b w:val="0"/>
          <w:bCs w:val="0"/>
          <w:i w:val="0"/>
          <w:caps w:val="0"/>
          <w:color w:val="auto"/>
          <w:spacing w:val="0"/>
          <w:sz w:val="36"/>
          <w:szCs w:val="36"/>
          <w:shd w:val="clear" w:fill="FFFFFF"/>
          <w:lang w:val="en-US" w:eastAsia="zh-CN"/>
        </w:rPr>
        <w:t>3</w:t>
      </w:r>
      <w:r>
        <w:rPr>
          <w:rFonts w:hint="eastAsia" w:ascii="黑体" w:hAnsi="黑体" w:eastAsia="黑体" w:cs="黑体"/>
          <w:b w:val="0"/>
          <w:bCs w:val="0"/>
          <w:i w:val="0"/>
          <w:caps w:val="0"/>
          <w:color w:val="auto"/>
          <w:spacing w:val="0"/>
          <w:sz w:val="36"/>
          <w:szCs w:val="36"/>
          <w:shd w:val="clear" w:fill="FFFFFF"/>
        </w:rPr>
        <w:t>年</w:t>
      </w:r>
      <w:r>
        <w:rPr>
          <w:rFonts w:hint="eastAsia" w:ascii="黑体" w:hAnsi="黑体" w:eastAsia="黑体" w:cs="黑体"/>
          <w:b w:val="0"/>
          <w:bCs w:val="0"/>
          <w:i w:val="0"/>
          <w:caps w:val="0"/>
          <w:color w:val="auto"/>
          <w:spacing w:val="0"/>
          <w:sz w:val="36"/>
          <w:szCs w:val="36"/>
          <w:shd w:val="clear" w:fill="FFFFFF"/>
          <w:lang w:eastAsia="zh-CN"/>
        </w:rPr>
        <w:t>部门</w:t>
      </w:r>
      <w:r>
        <w:rPr>
          <w:rFonts w:hint="eastAsia" w:ascii="黑体" w:hAnsi="黑体" w:eastAsia="黑体" w:cs="黑体"/>
          <w:b w:val="0"/>
          <w:bCs w:val="0"/>
          <w:i w:val="0"/>
          <w:caps w:val="0"/>
          <w:color w:val="auto"/>
          <w:spacing w:val="0"/>
          <w:sz w:val="36"/>
          <w:szCs w:val="36"/>
          <w:shd w:val="clear" w:fill="FFFFFF"/>
        </w:rPr>
        <w:t>预算</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i w:val="0"/>
          <w:caps w:val="0"/>
          <w:color w:val="auto"/>
          <w:spacing w:val="0"/>
          <w:sz w:val="36"/>
          <w:szCs w:val="36"/>
          <w:shd w:val="clear" w:fill="FFFFFF"/>
          <w:lang w:eastAsia="zh-CN"/>
        </w:rPr>
        <w:t>编制情况及说明</w:t>
      </w: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auto"/>
          <w:spacing w:val="0"/>
          <w:sz w:val="36"/>
          <w:szCs w:val="36"/>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shd w:val="clear" w:fill="FFFFFF"/>
          <w:lang w:eastAsia="zh-CN"/>
        </w:rPr>
        <w:t>一、</w:t>
      </w:r>
      <w:r>
        <w:rPr>
          <w:rFonts w:hint="eastAsia" w:ascii="黑体" w:hAnsi="黑体" w:eastAsia="黑体" w:cs="黑体"/>
          <w:i w:val="0"/>
          <w:caps w:val="0"/>
          <w:color w:val="auto"/>
          <w:spacing w:val="0"/>
          <w:sz w:val="32"/>
          <w:szCs w:val="32"/>
          <w:shd w:val="clear" w:fill="FFFFFF"/>
        </w:rPr>
        <w:t>202</w:t>
      </w:r>
      <w:r>
        <w:rPr>
          <w:rFonts w:hint="eastAsia" w:ascii="黑体" w:hAnsi="黑体" w:eastAsia="黑体" w:cs="黑体"/>
          <w:i w:val="0"/>
          <w:caps w:val="0"/>
          <w:color w:val="auto"/>
          <w:spacing w:val="0"/>
          <w:sz w:val="32"/>
          <w:szCs w:val="32"/>
          <w:shd w:val="clear" w:fill="FFFFFF"/>
          <w:lang w:val="en-US" w:eastAsia="zh-CN"/>
        </w:rPr>
        <w:t>3</w:t>
      </w:r>
      <w:r>
        <w:rPr>
          <w:rFonts w:hint="eastAsia" w:ascii="黑体" w:hAnsi="黑体" w:eastAsia="黑体" w:cs="黑体"/>
          <w:i w:val="0"/>
          <w:caps w:val="0"/>
          <w:color w:val="auto"/>
          <w:spacing w:val="0"/>
          <w:sz w:val="32"/>
          <w:szCs w:val="32"/>
          <w:shd w:val="clear" w:fill="FFFFFF"/>
        </w:rPr>
        <w:t>年部门预算收支简要说明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_GB2312" w:hAnsi="楷体_GB2312" w:eastAsia="楷体_GB2312" w:cs="楷体_GB2312"/>
          <w:b/>
          <w:bCs/>
          <w:i w:val="0"/>
          <w:caps w:val="0"/>
          <w:color w:val="auto"/>
          <w:spacing w:val="0"/>
          <w:sz w:val="32"/>
          <w:szCs w:val="32"/>
          <w:lang w:eastAsia="zh-CN"/>
        </w:rPr>
      </w:pPr>
      <w:r>
        <w:rPr>
          <w:rFonts w:hint="eastAsia" w:ascii="楷体_GB2312" w:hAnsi="楷体_GB2312" w:eastAsia="楷体_GB2312" w:cs="楷体_GB2312"/>
          <w:b/>
          <w:bCs/>
          <w:i w:val="0"/>
          <w:caps w:val="0"/>
          <w:color w:val="auto"/>
          <w:spacing w:val="0"/>
          <w:sz w:val="32"/>
          <w:szCs w:val="32"/>
          <w:shd w:val="clear" w:fill="FFFFFF"/>
        </w:rPr>
        <w:t>（一）部门预算收支情况</w:t>
      </w:r>
      <w:r>
        <w:rPr>
          <w:rFonts w:hint="eastAsia" w:ascii="楷体_GB2312" w:hAnsi="楷体_GB2312" w:eastAsia="楷体_GB2312" w:cs="楷体_GB2312"/>
          <w:b/>
          <w:bCs/>
          <w:i w:val="0"/>
          <w:caps w:val="0"/>
          <w:color w:val="auto"/>
          <w:spacing w:val="0"/>
          <w:sz w:val="32"/>
          <w:szCs w:val="32"/>
          <w:shd w:val="clear" w:fill="FFFFFF"/>
          <w:lang w:eastAsia="zh-CN"/>
        </w:rPr>
        <w:t>及增减变化情况说明</w:t>
      </w:r>
    </w:p>
    <w:p>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cs="仿宋_GB2312"/>
          <w:i w:val="0"/>
          <w:caps w:val="0"/>
          <w:color w:val="FF0000"/>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202</w:t>
      </w: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年部门预算收入</w:t>
      </w:r>
      <w:r>
        <w:rPr>
          <w:rFonts w:hint="eastAsia" w:ascii="仿宋_GB2312" w:hAnsi="仿宋_GB2312" w:eastAsia="仿宋_GB2312" w:cs="仿宋_GB2312"/>
          <w:i w:val="0"/>
          <w:caps w:val="0"/>
          <w:color w:val="auto"/>
          <w:spacing w:val="0"/>
          <w:sz w:val="32"/>
          <w:szCs w:val="32"/>
          <w:shd w:val="clear" w:fill="FFFFFF"/>
          <w:lang w:val="en-US" w:eastAsia="zh-CN"/>
        </w:rPr>
        <w:t>1084.81</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cs="仿宋_GB2312"/>
          <w:i w:val="0"/>
          <w:caps w:val="0"/>
          <w:color w:val="auto"/>
          <w:spacing w:val="0"/>
          <w:sz w:val="32"/>
          <w:szCs w:val="32"/>
          <w:shd w:val="clear" w:fill="FFFFFF"/>
          <w:lang w:eastAsia="zh-CN"/>
        </w:rPr>
        <w:t>（均</w:t>
      </w:r>
      <w:r>
        <w:rPr>
          <w:rFonts w:hint="eastAsia" w:ascii="仿宋_GB2312" w:hAnsi="仿宋_GB2312" w:eastAsia="仿宋_GB2312" w:cs="仿宋_GB2312"/>
          <w:i w:val="0"/>
          <w:caps w:val="0"/>
          <w:color w:val="auto"/>
          <w:spacing w:val="0"/>
          <w:sz w:val="32"/>
          <w:szCs w:val="32"/>
          <w:shd w:val="clear" w:fill="FFFFFF"/>
          <w:lang w:eastAsia="zh-CN"/>
        </w:rPr>
        <w:t>为</w:t>
      </w:r>
      <w:r>
        <w:rPr>
          <w:rFonts w:hint="eastAsia" w:ascii="仿宋_GB2312" w:hAnsi="仿宋_GB2312" w:eastAsia="仿宋_GB2312" w:cs="仿宋_GB2312"/>
          <w:i w:val="0"/>
          <w:caps w:val="0"/>
          <w:color w:val="auto"/>
          <w:spacing w:val="0"/>
          <w:sz w:val="32"/>
          <w:szCs w:val="32"/>
          <w:shd w:val="clear" w:fill="FFFFFF"/>
        </w:rPr>
        <w:t>一般公共预算拨款</w:t>
      </w:r>
      <w:r>
        <w:rPr>
          <w:rFonts w:hint="eastAsia" w:ascii="仿宋_GB2312" w:hAnsi="仿宋_GB2312" w:cs="仿宋_GB2312"/>
          <w:i w:val="0"/>
          <w:caps w:val="0"/>
          <w:color w:val="auto"/>
          <w:spacing w:val="0"/>
          <w:sz w:val="32"/>
          <w:szCs w:val="32"/>
          <w:shd w:val="clear" w:fill="FFFFFF"/>
          <w:lang w:eastAsia="zh-CN"/>
        </w:rPr>
        <w:t>收入）</w:t>
      </w:r>
      <w:r>
        <w:rPr>
          <w:rFonts w:hint="eastAsia" w:ascii="仿宋_GB2312" w:hAnsi="仿宋_GB2312" w:eastAsia="仿宋_GB2312" w:cs="仿宋_GB2312"/>
          <w:i w:val="0"/>
          <w:caps w:val="0"/>
          <w:color w:val="auto"/>
          <w:spacing w:val="0"/>
          <w:sz w:val="32"/>
          <w:szCs w:val="32"/>
          <w:shd w:val="clear" w:fill="FFFFFF"/>
        </w:rPr>
        <w:t>，较202</w:t>
      </w: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rPr>
        <w:t>年预算收入</w:t>
      </w:r>
      <w:r>
        <w:rPr>
          <w:rFonts w:hint="eastAsia" w:ascii="仿宋_GB2312" w:hAnsi="仿宋_GB2312" w:eastAsia="仿宋_GB2312" w:cs="仿宋_GB2312"/>
          <w:i w:val="0"/>
          <w:caps w:val="0"/>
          <w:color w:val="auto"/>
          <w:spacing w:val="0"/>
          <w:sz w:val="32"/>
          <w:szCs w:val="32"/>
          <w:shd w:val="clear" w:fill="FFFFFF"/>
          <w:lang w:val="en-US" w:eastAsia="zh-CN"/>
        </w:rPr>
        <w:t>1480.16</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eastAsia="仿宋_GB2312" w:cs="仿宋_GB2312"/>
          <w:i w:val="0"/>
          <w:caps w:val="0"/>
          <w:color w:val="auto"/>
          <w:spacing w:val="0"/>
          <w:sz w:val="32"/>
          <w:szCs w:val="32"/>
          <w:shd w:val="clear" w:fill="FFFFFF"/>
          <w:lang w:eastAsia="zh-CN"/>
        </w:rPr>
        <w:t>减少</w:t>
      </w:r>
      <w:r>
        <w:rPr>
          <w:rFonts w:hint="eastAsia" w:ascii="仿宋_GB2312" w:hAnsi="仿宋_GB2312" w:eastAsia="仿宋_GB2312" w:cs="仿宋_GB2312"/>
          <w:i w:val="0"/>
          <w:caps w:val="0"/>
          <w:color w:val="auto"/>
          <w:spacing w:val="0"/>
          <w:sz w:val="32"/>
          <w:szCs w:val="32"/>
          <w:shd w:val="clear" w:fill="FFFFFF"/>
          <w:lang w:val="en-US" w:eastAsia="zh-CN"/>
        </w:rPr>
        <w:t>395.35</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eastAsia="仿宋_GB2312" w:cs="仿宋_GB2312"/>
          <w:i w:val="0"/>
          <w:caps w:val="0"/>
          <w:color w:val="auto"/>
          <w:spacing w:val="0"/>
          <w:sz w:val="32"/>
          <w:szCs w:val="32"/>
          <w:shd w:val="clear" w:fill="FFFFFF"/>
          <w:lang w:eastAsia="zh-CN"/>
        </w:rPr>
        <w:t>降低</w:t>
      </w:r>
      <w:r>
        <w:rPr>
          <w:rFonts w:hint="eastAsia" w:ascii="仿宋_GB2312" w:hAnsi="仿宋_GB2312" w:eastAsia="仿宋_GB2312" w:cs="仿宋_GB2312"/>
          <w:i w:val="0"/>
          <w:caps w:val="0"/>
          <w:color w:val="auto"/>
          <w:spacing w:val="0"/>
          <w:sz w:val="32"/>
          <w:szCs w:val="32"/>
          <w:shd w:val="clear" w:fill="FFFFFF"/>
          <w:lang w:val="en-US" w:eastAsia="zh-CN"/>
        </w:rPr>
        <w:t>26.71</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一是</w:t>
      </w:r>
      <w:r>
        <w:rPr>
          <w:rFonts w:hint="eastAsia" w:ascii="仿宋_GB2312" w:hAnsi="仿宋_GB2312" w:eastAsia="仿宋_GB2312" w:cs="仿宋_GB2312"/>
          <w:i w:val="0"/>
          <w:caps w:val="0"/>
          <w:color w:val="auto"/>
          <w:spacing w:val="0"/>
          <w:sz w:val="32"/>
          <w:szCs w:val="32"/>
          <w:shd w:val="clear" w:fill="FFFFFF"/>
          <w:lang w:val="en-US" w:eastAsia="zh-CN"/>
        </w:rPr>
        <w:t>人员变动较大，存在退休、招录人员；二是2023年由人社局统一发放退休人员薪金，社保基金预算</w:t>
      </w:r>
      <w:r>
        <w:rPr>
          <w:rFonts w:hint="eastAsia" w:ascii="仿宋_GB2312" w:hAnsi="仿宋_GB2312" w:cs="仿宋_GB2312"/>
          <w:i w:val="0"/>
          <w:caps w:val="0"/>
          <w:color w:val="auto"/>
          <w:spacing w:val="0"/>
          <w:sz w:val="32"/>
          <w:szCs w:val="32"/>
          <w:shd w:val="clear" w:fill="FFFFFF"/>
          <w:lang w:val="en-US" w:eastAsia="zh-CN"/>
        </w:rPr>
        <w:t>收入</w:t>
      </w:r>
      <w:r>
        <w:rPr>
          <w:rFonts w:hint="eastAsia" w:ascii="仿宋_GB2312" w:hAnsi="仿宋_GB2312" w:eastAsia="仿宋_GB2312" w:cs="仿宋_GB2312"/>
          <w:i w:val="0"/>
          <w:caps w:val="0"/>
          <w:color w:val="auto"/>
          <w:spacing w:val="0"/>
          <w:sz w:val="32"/>
          <w:szCs w:val="32"/>
          <w:shd w:val="clear" w:fill="FFFFFF"/>
          <w:lang w:val="en-US" w:eastAsia="zh-CN"/>
        </w:rPr>
        <w:t>未在部门预算中反应</w:t>
      </w:r>
      <w:r>
        <w:rPr>
          <w:rFonts w:hint="eastAsia" w:ascii="仿宋_GB2312" w:hAnsi="仿宋_GB2312" w:eastAsia="仿宋_GB2312" w:cs="仿宋_GB2312"/>
          <w:i w:val="0"/>
          <w:caps w:val="0"/>
          <w:color w:val="auto"/>
          <w:spacing w:val="0"/>
          <w:sz w:val="32"/>
          <w:szCs w:val="32"/>
          <w:shd w:val="clear" w:fill="FFFFFF"/>
          <w:lang w:eastAsia="zh-CN"/>
        </w:rPr>
        <w:t>；三是</w:t>
      </w:r>
      <w:r>
        <w:rPr>
          <w:rFonts w:hint="eastAsia" w:ascii="仿宋_GB2312" w:hAnsi="仿宋_GB2312" w:eastAsia="仿宋_GB2312" w:cs="仿宋_GB2312"/>
          <w:i w:val="0"/>
          <w:caps w:val="0"/>
          <w:color w:val="auto"/>
          <w:spacing w:val="0"/>
          <w:sz w:val="32"/>
          <w:szCs w:val="32"/>
          <w:shd w:val="clear" w:fill="FFFFFF"/>
          <w:lang w:val="en-US" w:eastAsia="zh-CN"/>
        </w:rPr>
        <w:t>2022年</w:t>
      </w:r>
      <w:r>
        <w:rPr>
          <w:rFonts w:hint="eastAsia" w:ascii="仿宋_GB2312" w:hAnsi="仿宋_GB2312" w:eastAsia="仿宋_GB2312" w:cs="仿宋_GB2312"/>
          <w:i w:val="0"/>
          <w:caps w:val="0"/>
          <w:color w:val="auto"/>
          <w:spacing w:val="0"/>
          <w:sz w:val="32"/>
          <w:szCs w:val="32"/>
          <w:shd w:val="clear" w:fill="FFFFFF"/>
          <w:lang w:eastAsia="zh-CN"/>
        </w:rPr>
        <w:t>少许项目为一次性项目，部分项目金额减少，导致项目经费</w:t>
      </w:r>
      <w:r>
        <w:rPr>
          <w:rFonts w:hint="eastAsia" w:ascii="仿宋_GB2312" w:hAnsi="仿宋_GB2312" w:cs="仿宋_GB2312"/>
          <w:i w:val="0"/>
          <w:caps w:val="0"/>
          <w:color w:val="auto"/>
          <w:spacing w:val="0"/>
          <w:sz w:val="32"/>
          <w:szCs w:val="32"/>
          <w:shd w:val="clear" w:fill="FFFFFF"/>
          <w:lang w:eastAsia="zh-CN"/>
        </w:rPr>
        <w:t>收入</w:t>
      </w:r>
      <w:r>
        <w:rPr>
          <w:rFonts w:hint="eastAsia" w:ascii="仿宋_GB2312" w:hAnsi="仿宋_GB2312" w:eastAsia="仿宋_GB2312" w:cs="仿宋_GB2312"/>
          <w:i w:val="0"/>
          <w:caps w:val="0"/>
          <w:color w:val="auto"/>
          <w:spacing w:val="0"/>
          <w:sz w:val="32"/>
          <w:szCs w:val="32"/>
          <w:shd w:val="clear" w:fill="FFFFFF"/>
          <w:lang w:eastAsia="zh-CN"/>
        </w:rPr>
        <w:t>有所降低。</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202</w:t>
      </w: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年部门预算总支出</w:t>
      </w:r>
      <w:r>
        <w:rPr>
          <w:rFonts w:hint="eastAsia" w:ascii="仿宋_GB2312" w:hAnsi="仿宋_GB2312" w:eastAsia="仿宋_GB2312" w:cs="仿宋_GB2312"/>
          <w:i w:val="0"/>
          <w:caps w:val="0"/>
          <w:color w:val="auto"/>
          <w:spacing w:val="0"/>
          <w:sz w:val="32"/>
          <w:szCs w:val="32"/>
          <w:shd w:val="clear" w:fill="FFFFFF"/>
          <w:lang w:val="en-US" w:eastAsia="zh-CN"/>
        </w:rPr>
        <w:t>1084.81</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较20</w:t>
      </w:r>
      <w:r>
        <w:rPr>
          <w:rFonts w:hint="eastAsia" w:ascii="仿宋_GB2312" w:hAnsi="仿宋_GB2312" w:eastAsia="仿宋_GB2312" w:cs="仿宋_GB2312"/>
          <w:i w:val="0"/>
          <w:caps w:val="0"/>
          <w:color w:val="auto"/>
          <w:spacing w:val="0"/>
          <w:sz w:val="32"/>
          <w:szCs w:val="32"/>
          <w:shd w:val="clear" w:fill="FFFFFF"/>
          <w:lang w:val="en-US" w:eastAsia="zh-CN"/>
        </w:rPr>
        <w:t>22</w:t>
      </w:r>
      <w:r>
        <w:rPr>
          <w:rFonts w:hint="eastAsia" w:ascii="仿宋_GB2312" w:hAnsi="仿宋_GB2312" w:eastAsia="仿宋_GB2312" w:cs="仿宋_GB2312"/>
          <w:i w:val="0"/>
          <w:caps w:val="0"/>
          <w:color w:val="auto"/>
          <w:spacing w:val="0"/>
          <w:sz w:val="32"/>
          <w:szCs w:val="32"/>
          <w:shd w:val="clear" w:fill="FFFFFF"/>
        </w:rPr>
        <w:t>年预算支出</w:t>
      </w:r>
      <w:r>
        <w:rPr>
          <w:rFonts w:hint="eastAsia" w:ascii="仿宋_GB2312" w:hAnsi="仿宋_GB2312" w:eastAsia="仿宋_GB2312" w:cs="仿宋_GB2312"/>
          <w:i w:val="0"/>
          <w:caps w:val="0"/>
          <w:color w:val="auto"/>
          <w:spacing w:val="0"/>
          <w:sz w:val="32"/>
          <w:szCs w:val="32"/>
          <w:shd w:val="clear" w:fill="FFFFFF"/>
          <w:lang w:val="en-US" w:eastAsia="zh-CN"/>
        </w:rPr>
        <w:t>1480.16</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eastAsia="仿宋_GB2312" w:cs="仿宋_GB2312"/>
          <w:i w:val="0"/>
          <w:caps w:val="0"/>
          <w:color w:val="auto"/>
          <w:spacing w:val="0"/>
          <w:sz w:val="32"/>
          <w:szCs w:val="32"/>
          <w:shd w:val="clear" w:fill="FFFFFF"/>
          <w:lang w:eastAsia="zh-CN"/>
        </w:rPr>
        <w:t>减少</w:t>
      </w:r>
      <w:r>
        <w:rPr>
          <w:rFonts w:hint="eastAsia" w:ascii="仿宋_GB2312" w:hAnsi="仿宋_GB2312" w:eastAsia="仿宋_GB2312" w:cs="仿宋_GB2312"/>
          <w:i w:val="0"/>
          <w:caps w:val="0"/>
          <w:color w:val="auto"/>
          <w:spacing w:val="0"/>
          <w:sz w:val="32"/>
          <w:szCs w:val="32"/>
          <w:shd w:val="clear" w:fill="FFFFFF"/>
          <w:lang w:val="en-US" w:eastAsia="zh-CN"/>
        </w:rPr>
        <w:t>395.35</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eastAsia="仿宋_GB2312" w:cs="仿宋_GB2312"/>
          <w:i w:val="0"/>
          <w:caps w:val="0"/>
          <w:color w:val="auto"/>
          <w:spacing w:val="0"/>
          <w:sz w:val="32"/>
          <w:szCs w:val="32"/>
          <w:shd w:val="clear" w:fill="FFFFFF"/>
          <w:lang w:eastAsia="zh-CN"/>
        </w:rPr>
        <w:t>降低</w:t>
      </w:r>
      <w:r>
        <w:rPr>
          <w:rFonts w:hint="eastAsia" w:ascii="仿宋_GB2312" w:hAnsi="仿宋_GB2312" w:eastAsia="仿宋_GB2312" w:cs="仿宋_GB2312"/>
          <w:i w:val="0"/>
          <w:caps w:val="0"/>
          <w:color w:val="auto"/>
          <w:spacing w:val="0"/>
          <w:sz w:val="32"/>
          <w:szCs w:val="32"/>
          <w:shd w:val="clear" w:fill="FFFFFF"/>
          <w:lang w:val="en-US" w:eastAsia="zh-CN"/>
        </w:rPr>
        <w:t>26.71</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cs="仿宋_GB2312"/>
          <w:i w:val="0"/>
          <w:caps w:val="0"/>
          <w:color w:val="auto"/>
          <w:spacing w:val="0"/>
          <w:sz w:val="32"/>
          <w:szCs w:val="32"/>
          <w:shd w:val="clear" w:fill="FFFFFF"/>
          <w:lang w:eastAsia="zh-CN"/>
        </w:rPr>
        <w:t>主要原因为人员变化、经费划转以及项目经费的减少。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按经济分类划分：基本保障支出</w:t>
      </w:r>
      <w:r>
        <w:rPr>
          <w:rFonts w:hint="eastAsia" w:ascii="仿宋_GB2312" w:hAnsi="仿宋_GB2312" w:eastAsia="仿宋_GB2312" w:cs="仿宋_GB2312"/>
          <w:i w:val="0"/>
          <w:caps w:val="0"/>
          <w:color w:val="auto"/>
          <w:spacing w:val="0"/>
          <w:sz w:val="32"/>
          <w:szCs w:val="32"/>
          <w:shd w:val="clear" w:fill="FFFFFF"/>
          <w:lang w:val="en-US" w:eastAsia="zh-CN"/>
        </w:rPr>
        <w:t>867.81</w:t>
      </w:r>
      <w:r>
        <w:rPr>
          <w:rFonts w:hint="eastAsia" w:ascii="仿宋_GB2312" w:hAnsi="仿宋_GB2312" w:eastAsia="仿宋_GB2312" w:cs="仿宋_GB2312"/>
          <w:i w:val="0"/>
          <w:caps w:val="0"/>
          <w:color w:val="auto"/>
          <w:spacing w:val="0"/>
          <w:sz w:val="32"/>
          <w:szCs w:val="32"/>
          <w:shd w:val="clear" w:fill="FFFFFF"/>
        </w:rPr>
        <w:t>万元，其中人员支出</w:t>
      </w:r>
      <w:r>
        <w:rPr>
          <w:rFonts w:hint="eastAsia" w:ascii="仿宋_GB2312" w:hAnsi="仿宋_GB2312" w:eastAsia="仿宋_GB2312" w:cs="仿宋_GB2312"/>
          <w:i w:val="0"/>
          <w:caps w:val="0"/>
          <w:color w:val="auto"/>
          <w:spacing w:val="0"/>
          <w:sz w:val="32"/>
          <w:szCs w:val="32"/>
          <w:shd w:val="clear" w:fill="FFFFFF"/>
          <w:lang w:val="en-US" w:eastAsia="zh-CN"/>
        </w:rPr>
        <w:t>751.15</w:t>
      </w:r>
      <w:r>
        <w:rPr>
          <w:rFonts w:hint="eastAsia" w:ascii="仿宋_GB2312" w:hAnsi="仿宋_GB2312" w:eastAsia="仿宋_GB2312" w:cs="仿宋_GB2312"/>
          <w:i w:val="0"/>
          <w:caps w:val="0"/>
          <w:color w:val="auto"/>
          <w:spacing w:val="0"/>
          <w:sz w:val="32"/>
          <w:szCs w:val="32"/>
          <w:shd w:val="clear" w:fill="FFFFFF"/>
        </w:rPr>
        <w:t>万元，标准公用支出</w:t>
      </w:r>
      <w:r>
        <w:rPr>
          <w:rFonts w:hint="eastAsia" w:ascii="仿宋_GB2312" w:hAnsi="仿宋_GB2312" w:eastAsia="仿宋_GB2312" w:cs="仿宋_GB2312"/>
          <w:i w:val="0"/>
          <w:caps w:val="0"/>
          <w:color w:val="auto"/>
          <w:spacing w:val="0"/>
          <w:sz w:val="32"/>
          <w:szCs w:val="32"/>
          <w:shd w:val="clear" w:fill="FFFFFF"/>
          <w:lang w:val="en-US" w:eastAsia="zh-CN"/>
        </w:rPr>
        <w:t>116.66</w:t>
      </w:r>
      <w:r>
        <w:rPr>
          <w:rFonts w:hint="eastAsia" w:ascii="仿宋_GB2312" w:hAnsi="仿宋_GB2312" w:eastAsia="仿宋_GB2312" w:cs="仿宋_GB2312"/>
          <w:i w:val="0"/>
          <w:caps w:val="0"/>
          <w:color w:val="auto"/>
          <w:spacing w:val="0"/>
          <w:sz w:val="32"/>
          <w:szCs w:val="32"/>
          <w:shd w:val="clear" w:fill="FFFFFF"/>
        </w:rPr>
        <w:t>万元；项目支出</w:t>
      </w:r>
      <w:r>
        <w:rPr>
          <w:rFonts w:hint="eastAsia" w:ascii="仿宋_GB2312" w:hAnsi="仿宋_GB2312" w:eastAsia="仿宋_GB2312" w:cs="仿宋_GB2312"/>
          <w:i w:val="0"/>
          <w:caps w:val="0"/>
          <w:color w:val="auto"/>
          <w:spacing w:val="0"/>
          <w:sz w:val="32"/>
          <w:szCs w:val="32"/>
          <w:shd w:val="clear" w:fill="FFFFFF"/>
          <w:lang w:val="en-US" w:eastAsia="zh-CN"/>
        </w:rPr>
        <w:t>217</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eastAsia="仿宋_GB2312" w:cs="仿宋_GB2312"/>
          <w:i w:val="0"/>
          <w:caps w:val="0"/>
          <w:color w:val="auto"/>
          <w:spacing w:val="0"/>
          <w:sz w:val="32"/>
          <w:szCs w:val="32"/>
          <w:shd w:val="clear" w:fill="FFFFFF"/>
          <w:lang w:eastAsia="zh-CN"/>
        </w:rPr>
        <w:t>（全部为经常性项目）</w:t>
      </w:r>
      <w:r>
        <w:rPr>
          <w:rFonts w:hint="eastAsia" w:ascii="仿宋_GB2312" w:hAnsi="仿宋_GB2312" w:eastAsia="仿宋_GB2312" w:cs="仿宋_GB2312"/>
          <w:i w:val="0"/>
          <w:caps w:val="0"/>
          <w:color w:val="auto"/>
          <w:spacing w:val="0"/>
          <w:sz w:val="32"/>
          <w:szCs w:val="32"/>
          <w:shd w:val="clear"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eastAsia="仿宋_GB2312"/>
          <w:lang w:val="en-US" w:eastAsia="zh-CN"/>
        </w:rPr>
      </w:pPr>
      <w:r>
        <w:rPr>
          <w:rFonts w:hint="eastAsia" w:ascii="仿宋_GB2312" w:hAnsi="仿宋_GB2312" w:eastAsia="仿宋_GB2312" w:cs="仿宋_GB2312"/>
          <w:i w:val="0"/>
          <w:caps w:val="0"/>
          <w:color w:val="auto"/>
          <w:spacing w:val="0"/>
          <w:sz w:val="32"/>
          <w:szCs w:val="32"/>
          <w:shd w:val="clear" w:fill="FFFFFF"/>
        </w:rPr>
        <w:t>按功能科目划分：社会保障和就业支出</w:t>
      </w:r>
      <w:r>
        <w:rPr>
          <w:rFonts w:hint="eastAsia" w:ascii="仿宋_GB2312" w:hAnsi="仿宋_GB2312" w:eastAsia="仿宋_GB2312" w:cs="仿宋_GB2312"/>
          <w:i w:val="0"/>
          <w:caps w:val="0"/>
          <w:color w:val="auto"/>
          <w:spacing w:val="0"/>
          <w:sz w:val="32"/>
          <w:szCs w:val="32"/>
          <w:shd w:val="clear" w:fill="FFFFFF"/>
          <w:lang w:val="en-US" w:eastAsia="zh-CN"/>
        </w:rPr>
        <w:t>101.81</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eastAsia="仿宋_GB2312" w:cs="仿宋_GB2312"/>
          <w:i w:val="0"/>
          <w:caps w:val="0"/>
          <w:color w:val="auto"/>
          <w:spacing w:val="0"/>
          <w:sz w:val="32"/>
          <w:szCs w:val="32"/>
          <w:shd w:val="clear" w:fill="FFFFFF"/>
          <w:lang w:eastAsia="zh-CN"/>
        </w:rPr>
        <w:t>，其中</w:t>
      </w:r>
      <w:r>
        <w:rPr>
          <w:rFonts w:hint="eastAsia" w:ascii="仿宋_GB2312" w:hAnsi="仿宋_GB2312" w:eastAsia="仿宋_GB2312" w:cs="仿宋_GB2312"/>
          <w:i w:val="0"/>
          <w:caps w:val="0"/>
          <w:color w:val="auto"/>
          <w:spacing w:val="0"/>
          <w:sz w:val="32"/>
          <w:szCs w:val="32"/>
          <w:shd w:val="clear" w:fill="FFFFFF"/>
        </w:rPr>
        <w:t>行政事业单位</w:t>
      </w:r>
      <w:r>
        <w:rPr>
          <w:rFonts w:hint="eastAsia" w:ascii="仿宋_GB2312" w:hAnsi="仿宋_GB2312" w:eastAsia="仿宋_GB2312" w:cs="仿宋_GB2312"/>
          <w:i w:val="0"/>
          <w:caps w:val="0"/>
          <w:color w:val="auto"/>
          <w:spacing w:val="0"/>
          <w:sz w:val="32"/>
          <w:szCs w:val="32"/>
          <w:shd w:val="clear" w:fill="FFFFFF"/>
          <w:lang w:eastAsia="zh-CN"/>
        </w:rPr>
        <w:t>养老支出</w:t>
      </w:r>
      <w:r>
        <w:rPr>
          <w:rFonts w:hint="eastAsia" w:ascii="仿宋_GB2312" w:hAnsi="仿宋_GB2312" w:eastAsia="仿宋_GB2312" w:cs="仿宋_GB2312"/>
          <w:i w:val="0"/>
          <w:caps w:val="0"/>
          <w:color w:val="auto"/>
          <w:spacing w:val="0"/>
          <w:sz w:val="32"/>
          <w:szCs w:val="32"/>
          <w:shd w:val="clear" w:fill="FFFFFF"/>
          <w:lang w:val="en-US" w:eastAsia="zh-CN"/>
        </w:rPr>
        <w:t>100.75</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eastAsia="仿宋_GB2312" w:cs="仿宋_GB2312"/>
          <w:i w:val="0"/>
          <w:caps w:val="0"/>
          <w:color w:val="auto"/>
          <w:spacing w:val="0"/>
          <w:sz w:val="32"/>
          <w:szCs w:val="32"/>
          <w:shd w:val="clear" w:fill="FFFFFF"/>
          <w:lang w:eastAsia="zh-CN"/>
        </w:rPr>
        <w:t>，包含</w:t>
      </w:r>
      <w:r>
        <w:rPr>
          <w:rFonts w:hint="eastAsia" w:ascii="仿宋_GB2312" w:hAnsi="仿宋_GB2312" w:eastAsia="仿宋_GB2312" w:cs="仿宋_GB2312"/>
          <w:i w:val="0"/>
          <w:caps w:val="0"/>
          <w:color w:val="auto"/>
          <w:spacing w:val="0"/>
          <w:sz w:val="32"/>
          <w:szCs w:val="32"/>
          <w:shd w:val="clear" w:fill="FFFFFF"/>
        </w:rPr>
        <w:t>养老保险支出76.6</w:t>
      </w:r>
      <w:r>
        <w:rPr>
          <w:rFonts w:hint="eastAsia" w:ascii="仿宋_GB2312" w:hAnsi="仿宋_GB2312" w:eastAsia="仿宋_GB2312" w:cs="仿宋_GB2312"/>
          <w:i w:val="0"/>
          <w:caps w:val="0"/>
          <w:color w:val="auto"/>
          <w:spacing w:val="0"/>
          <w:sz w:val="32"/>
          <w:szCs w:val="32"/>
          <w:shd w:val="clear" w:fill="FFFFFF"/>
          <w:lang w:val="en-US" w:eastAsia="zh-CN"/>
        </w:rPr>
        <w:t>7万元</w:t>
      </w:r>
      <w:r>
        <w:rPr>
          <w:rFonts w:hint="eastAsia" w:ascii="仿宋_GB2312" w:hAnsi="仿宋_GB2312" w:eastAsia="仿宋_GB2312" w:cs="仿宋_GB2312"/>
          <w:i w:val="0"/>
          <w:caps w:val="0"/>
          <w:color w:val="auto"/>
          <w:spacing w:val="0"/>
          <w:sz w:val="32"/>
          <w:szCs w:val="32"/>
          <w:shd w:val="clear" w:fill="FFFFFF"/>
        </w:rPr>
        <w:t>，职业年金24.08万元；其他社会保障和就业支出1.0</w:t>
      </w:r>
      <w:r>
        <w:rPr>
          <w:rFonts w:hint="eastAsia" w:ascii="仿宋_GB2312" w:hAnsi="仿宋_GB2312" w:eastAsia="仿宋_GB2312" w:cs="仿宋_GB2312"/>
          <w:i w:val="0"/>
          <w:caps w:val="0"/>
          <w:color w:val="auto"/>
          <w:spacing w:val="0"/>
          <w:sz w:val="32"/>
          <w:szCs w:val="32"/>
          <w:shd w:val="clear" w:fill="FFFFFF"/>
          <w:lang w:val="en-US" w:eastAsia="zh-CN"/>
        </w:rPr>
        <w:t>7万元</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卫生健康支出（行政事业单位医疗）</w:t>
      </w:r>
      <w:r>
        <w:rPr>
          <w:rFonts w:hint="eastAsia" w:ascii="仿宋_GB2312" w:hAnsi="仿宋_GB2312" w:eastAsia="仿宋_GB2312" w:cs="仿宋_GB2312"/>
          <w:i w:val="0"/>
          <w:caps w:val="0"/>
          <w:color w:val="auto"/>
          <w:spacing w:val="0"/>
          <w:sz w:val="32"/>
          <w:szCs w:val="32"/>
          <w:shd w:val="clear" w:fill="FFFFFF"/>
          <w:lang w:val="en-US" w:eastAsia="zh-CN"/>
        </w:rPr>
        <w:t>37.07</w:t>
      </w:r>
      <w:r>
        <w:rPr>
          <w:rFonts w:hint="eastAsia" w:ascii="仿宋_GB2312" w:hAnsi="仿宋_GB2312" w:eastAsia="仿宋_GB2312" w:cs="仿宋_GB2312"/>
          <w:i w:val="0"/>
          <w:caps w:val="0"/>
          <w:color w:val="auto"/>
          <w:spacing w:val="0"/>
          <w:sz w:val="32"/>
          <w:szCs w:val="32"/>
          <w:shd w:val="clear" w:fill="FFFFFF"/>
        </w:rPr>
        <w:t>万元，其中行政单位医疗32.8</w:t>
      </w:r>
      <w:r>
        <w:rPr>
          <w:rFonts w:hint="eastAsia" w:ascii="仿宋_GB2312" w:hAnsi="仿宋_GB2312" w:eastAsia="仿宋_GB2312" w:cs="仿宋_GB2312"/>
          <w:i w:val="0"/>
          <w:caps w:val="0"/>
          <w:color w:val="auto"/>
          <w:spacing w:val="0"/>
          <w:sz w:val="32"/>
          <w:szCs w:val="32"/>
          <w:shd w:val="clear" w:fill="FFFFFF"/>
          <w:lang w:val="en-US" w:eastAsia="zh-CN"/>
        </w:rPr>
        <w:t>9</w:t>
      </w:r>
      <w:r>
        <w:rPr>
          <w:rFonts w:hint="eastAsia" w:ascii="仿宋_GB2312" w:hAnsi="仿宋_GB2312" w:eastAsia="仿宋_GB2312" w:cs="仿宋_GB2312"/>
          <w:i w:val="0"/>
          <w:caps w:val="0"/>
          <w:color w:val="auto"/>
          <w:spacing w:val="0"/>
          <w:sz w:val="32"/>
          <w:szCs w:val="32"/>
          <w:shd w:val="clear" w:fill="FFFFFF"/>
        </w:rPr>
        <w:t>万元，公务员医疗补助4.1</w:t>
      </w:r>
      <w:r>
        <w:rPr>
          <w:rFonts w:hint="eastAsia" w:ascii="仿宋_GB2312" w:hAnsi="仿宋_GB2312" w:eastAsia="仿宋_GB2312" w:cs="仿宋_GB2312"/>
          <w:i w:val="0"/>
          <w:caps w:val="0"/>
          <w:color w:val="auto"/>
          <w:spacing w:val="0"/>
          <w:sz w:val="32"/>
          <w:szCs w:val="32"/>
          <w:shd w:val="clear" w:fill="FFFFFF"/>
          <w:lang w:val="en-US" w:eastAsia="zh-CN"/>
        </w:rPr>
        <w:t>8</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FF0000"/>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rPr>
        <w:t>资源勘探信息等支出（国有资产监管）</w:t>
      </w:r>
      <w:r>
        <w:rPr>
          <w:rFonts w:hint="eastAsia" w:ascii="仿宋_GB2312" w:hAnsi="仿宋_GB2312" w:eastAsia="仿宋_GB2312" w:cs="仿宋_GB2312"/>
          <w:i w:val="0"/>
          <w:caps w:val="0"/>
          <w:color w:val="auto"/>
          <w:spacing w:val="0"/>
          <w:sz w:val="32"/>
          <w:szCs w:val="32"/>
          <w:shd w:val="clear" w:fill="FFFFFF"/>
          <w:lang w:val="en-US" w:eastAsia="zh-CN"/>
        </w:rPr>
        <w:t>866.92</w:t>
      </w:r>
      <w:r>
        <w:rPr>
          <w:rFonts w:hint="eastAsia" w:ascii="仿宋_GB2312" w:hAnsi="仿宋_GB2312" w:eastAsia="仿宋_GB2312" w:cs="仿宋_GB2312"/>
          <w:i w:val="0"/>
          <w:caps w:val="0"/>
          <w:color w:val="auto"/>
          <w:spacing w:val="0"/>
          <w:sz w:val="32"/>
          <w:szCs w:val="32"/>
          <w:shd w:val="clear" w:fill="FFFFFF"/>
        </w:rPr>
        <w:t>万元，其中行政运行</w:t>
      </w:r>
      <w:r>
        <w:rPr>
          <w:rFonts w:hint="eastAsia" w:ascii="仿宋_GB2312" w:hAnsi="仿宋_GB2312" w:eastAsia="仿宋_GB2312" w:cs="仿宋_GB2312"/>
          <w:i w:val="0"/>
          <w:caps w:val="0"/>
          <w:color w:val="auto"/>
          <w:spacing w:val="0"/>
          <w:sz w:val="32"/>
          <w:szCs w:val="32"/>
          <w:shd w:val="clear" w:fill="FFFFFF"/>
          <w:lang w:val="en-US" w:eastAsia="zh-CN"/>
        </w:rPr>
        <w:t>649.92万元</w:t>
      </w:r>
      <w:r>
        <w:rPr>
          <w:rFonts w:hint="eastAsia" w:ascii="仿宋_GB2312" w:hAnsi="仿宋_GB2312" w:eastAsia="仿宋_GB2312" w:cs="仿宋_GB2312"/>
          <w:i w:val="0"/>
          <w:caps w:val="0"/>
          <w:color w:val="auto"/>
          <w:spacing w:val="0"/>
          <w:sz w:val="32"/>
          <w:szCs w:val="32"/>
          <w:shd w:val="clear" w:fill="FFFFFF"/>
        </w:rPr>
        <w:t>，其他国有资产监管支出</w:t>
      </w:r>
      <w:r>
        <w:rPr>
          <w:rFonts w:hint="eastAsia" w:ascii="仿宋_GB2312" w:hAnsi="仿宋_GB2312" w:eastAsia="仿宋_GB2312" w:cs="仿宋_GB2312"/>
          <w:i w:val="0"/>
          <w:caps w:val="0"/>
          <w:color w:val="auto"/>
          <w:spacing w:val="0"/>
          <w:sz w:val="32"/>
          <w:szCs w:val="32"/>
          <w:shd w:val="clear" w:fill="FFFFFF"/>
          <w:lang w:val="en-US" w:eastAsia="zh-CN"/>
        </w:rPr>
        <w:t>217</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eastAsia="仿宋_GB2312" w:cs="仿宋_GB2312"/>
          <w:i w:val="0"/>
          <w:caps w:val="0"/>
          <w:color w:val="auto"/>
          <w:spacing w:val="0"/>
          <w:sz w:val="32"/>
          <w:szCs w:val="32"/>
          <w:shd w:val="clear" w:fill="FFFFFF"/>
          <w:lang w:val="en-US" w:eastAsia="zh-CN"/>
        </w:rPr>
        <w:t>。</w:t>
      </w:r>
      <w:r>
        <w:rPr>
          <w:rFonts w:hint="eastAsia" w:ascii="仿宋_GB2312" w:hAnsi="仿宋_GB2312" w:eastAsia="仿宋_GB2312" w:cs="仿宋_GB2312"/>
          <w:i w:val="0"/>
          <w:caps w:val="0"/>
          <w:color w:val="auto"/>
          <w:spacing w:val="0"/>
          <w:sz w:val="32"/>
          <w:szCs w:val="32"/>
          <w:shd w:val="clear" w:fill="FFFFFF"/>
        </w:rPr>
        <w:t>住房保障支出（住房改革支出）</w:t>
      </w:r>
      <w:r>
        <w:rPr>
          <w:rFonts w:hint="eastAsia" w:ascii="仿宋_GB2312" w:hAnsi="仿宋_GB2312" w:eastAsia="仿宋_GB2312" w:cs="仿宋_GB2312"/>
          <w:i w:val="0"/>
          <w:caps w:val="0"/>
          <w:color w:val="auto"/>
          <w:spacing w:val="0"/>
          <w:sz w:val="32"/>
          <w:szCs w:val="32"/>
          <w:shd w:val="clear" w:fill="FFFFFF"/>
          <w:lang w:val="en-US" w:eastAsia="zh-CN"/>
        </w:rPr>
        <w:t>79.01</w:t>
      </w:r>
      <w:r>
        <w:rPr>
          <w:rFonts w:hint="eastAsia" w:ascii="仿宋_GB2312" w:hAnsi="仿宋_GB2312" w:eastAsia="仿宋_GB2312" w:cs="仿宋_GB2312"/>
          <w:i w:val="0"/>
          <w:caps w:val="0"/>
          <w:color w:val="auto"/>
          <w:spacing w:val="0"/>
          <w:sz w:val="32"/>
          <w:szCs w:val="32"/>
          <w:shd w:val="clear" w:fill="FFFFFF"/>
        </w:rPr>
        <w:t>万元，其中住房公积金</w:t>
      </w:r>
      <w:r>
        <w:rPr>
          <w:rFonts w:hint="eastAsia" w:ascii="仿宋_GB2312" w:hAnsi="仿宋_GB2312" w:eastAsia="仿宋_GB2312" w:cs="仿宋_GB2312"/>
          <w:i w:val="0"/>
          <w:caps w:val="0"/>
          <w:color w:val="auto"/>
          <w:spacing w:val="0"/>
          <w:sz w:val="32"/>
          <w:szCs w:val="32"/>
          <w:shd w:val="clear" w:fill="FFFFFF"/>
          <w:lang w:val="en-US" w:eastAsia="zh-CN"/>
        </w:rPr>
        <w:t>66.7</w:t>
      </w:r>
      <w:r>
        <w:rPr>
          <w:rFonts w:hint="eastAsia" w:ascii="仿宋_GB2312" w:hAnsi="仿宋_GB2312" w:eastAsia="仿宋_GB2312" w:cs="仿宋_GB2312"/>
          <w:i w:val="0"/>
          <w:caps w:val="0"/>
          <w:color w:val="auto"/>
          <w:spacing w:val="0"/>
          <w:sz w:val="32"/>
          <w:szCs w:val="32"/>
          <w:shd w:val="clear" w:fill="FFFFFF"/>
        </w:rPr>
        <w:t>万元， 提租补贴</w:t>
      </w:r>
      <w:r>
        <w:rPr>
          <w:rFonts w:hint="eastAsia" w:ascii="仿宋_GB2312" w:hAnsi="仿宋_GB2312" w:eastAsia="仿宋_GB2312" w:cs="仿宋_GB2312"/>
          <w:i w:val="0"/>
          <w:caps w:val="0"/>
          <w:color w:val="auto"/>
          <w:spacing w:val="0"/>
          <w:sz w:val="32"/>
          <w:szCs w:val="32"/>
          <w:shd w:val="clear" w:fill="FFFFFF"/>
          <w:lang w:val="en-US" w:eastAsia="zh-CN"/>
        </w:rPr>
        <w:t>12.3</w:t>
      </w:r>
      <w:r>
        <w:rPr>
          <w:rFonts w:hint="eastAsia" w:ascii="仿宋_GB2312" w:hAnsi="仿宋_GB2312" w:eastAsia="仿宋_GB2312" w:cs="仿宋_GB2312"/>
          <w:i w:val="0"/>
          <w:caps w:val="0"/>
          <w:color w:val="auto"/>
          <w:spacing w:val="0"/>
          <w:sz w:val="32"/>
          <w:szCs w:val="32"/>
          <w:shd w:val="clear" w:fill="FFFFFF"/>
        </w:rPr>
        <w:t>万元。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_GB2312" w:hAnsi="楷体_GB2312" w:eastAsia="楷体_GB2312" w:cs="楷体_GB2312"/>
          <w:b/>
          <w:bCs/>
          <w:i w:val="0"/>
          <w:caps w:val="0"/>
          <w:color w:val="auto"/>
          <w:spacing w:val="0"/>
          <w:sz w:val="32"/>
          <w:szCs w:val="32"/>
        </w:rPr>
      </w:pPr>
      <w:r>
        <w:rPr>
          <w:rFonts w:hint="eastAsia" w:ascii="楷体_GB2312" w:hAnsi="楷体_GB2312" w:eastAsia="楷体_GB2312" w:cs="楷体_GB2312"/>
          <w:b/>
          <w:bCs/>
          <w:i w:val="0"/>
          <w:caps w:val="0"/>
          <w:color w:val="auto"/>
          <w:spacing w:val="0"/>
          <w:sz w:val="32"/>
          <w:szCs w:val="32"/>
          <w:shd w:val="clear" w:fill="FFFFFF"/>
        </w:rPr>
        <w:t>（二）机关运行经费安排及增减变化情况说明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市</w:t>
      </w:r>
      <w:r>
        <w:rPr>
          <w:rFonts w:hint="eastAsia" w:ascii="仿宋_GB2312" w:hAnsi="仿宋_GB2312" w:eastAsia="仿宋_GB2312" w:cs="仿宋_GB2312"/>
          <w:i w:val="0"/>
          <w:caps w:val="0"/>
          <w:color w:val="auto"/>
          <w:spacing w:val="0"/>
          <w:sz w:val="32"/>
          <w:szCs w:val="32"/>
          <w:shd w:val="clear" w:fill="FFFFFF"/>
          <w:lang w:eastAsia="zh-CN"/>
        </w:rPr>
        <w:t>政府</w:t>
      </w:r>
      <w:r>
        <w:rPr>
          <w:rFonts w:hint="eastAsia" w:ascii="仿宋_GB2312" w:hAnsi="仿宋_GB2312" w:eastAsia="仿宋_GB2312" w:cs="仿宋_GB2312"/>
          <w:i w:val="0"/>
          <w:caps w:val="0"/>
          <w:color w:val="auto"/>
          <w:spacing w:val="0"/>
          <w:sz w:val="32"/>
          <w:szCs w:val="32"/>
          <w:shd w:val="clear" w:fill="FFFFFF"/>
        </w:rPr>
        <w:t>国资委202</w:t>
      </w: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年机关运行经费预算</w:t>
      </w:r>
      <w:r>
        <w:rPr>
          <w:rFonts w:hint="eastAsia" w:ascii="仿宋_GB2312" w:hAnsi="仿宋_GB2312" w:eastAsia="仿宋_GB2312" w:cs="仿宋_GB2312"/>
          <w:i w:val="0"/>
          <w:caps w:val="0"/>
          <w:color w:val="auto"/>
          <w:spacing w:val="0"/>
          <w:sz w:val="32"/>
          <w:szCs w:val="32"/>
          <w:shd w:val="clear" w:fill="FFFFFF"/>
          <w:lang w:val="en-US" w:eastAsia="zh-CN"/>
        </w:rPr>
        <w:t>116.66</w:t>
      </w:r>
      <w:r>
        <w:rPr>
          <w:rFonts w:hint="eastAsia" w:ascii="仿宋_GB2312" w:hAnsi="仿宋_GB2312" w:eastAsia="仿宋_GB2312" w:cs="仿宋_GB2312"/>
          <w:i w:val="0"/>
          <w:caps w:val="0"/>
          <w:color w:val="auto"/>
          <w:spacing w:val="0"/>
          <w:sz w:val="32"/>
          <w:szCs w:val="32"/>
          <w:shd w:val="clear" w:fill="FFFFFF"/>
        </w:rPr>
        <w:t>万元，占预算总额</w:t>
      </w:r>
      <w:r>
        <w:rPr>
          <w:rFonts w:hint="eastAsia" w:ascii="仿宋_GB2312" w:hAnsi="仿宋_GB2312" w:eastAsia="仿宋_GB2312" w:cs="仿宋_GB2312"/>
          <w:i w:val="0"/>
          <w:caps w:val="0"/>
          <w:color w:val="auto"/>
          <w:spacing w:val="0"/>
          <w:sz w:val="32"/>
          <w:szCs w:val="32"/>
          <w:shd w:val="clear" w:fill="FFFFFF"/>
          <w:lang w:val="en-US" w:eastAsia="zh-CN"/>
        </w:rPr>
        <w:t>1084.81</w:t>
      </w:r>
      <w:r>
        <w:rPr>
          <w:rFonts w:hint="eastAsia" w:ascii="仿宋_GB2312" w:hAnsi="仿宋_GB2312" w:eastAsia="仿宋_GB2312" w:cs="仿宋_GB2312"/>
          <w:i w:val="0"/>
          <w:caps w:val="0"/>
          <w:color w:val="auto"/>
          <w:spacing w:val="0"/>
          <w:sz w:val="32"/>
          <w:szCs w:val="32"/>
          <w:shd w:val="clear" w:fill="FFFFFF"/>
        </w:rPr>
        <w:t>万元的</w:t>
      </w:r>
      <w:r>
        <w:rPr>
          <w:rFonts w:hint="eastAsia" w:ascii="仿宋_GB2312" w:hAnsi="仿宋_GB2312" w:eastAsia="仿宋_GB2312" w:cs="仿宋_GB2312"/>
          <w:i w:val="0"/>
          <w:caps w:val="0"/>
          <w:color w:val="auto"/>
          <w:spacing w:val="0"/>
          <w:sz w:val="32"/>
          <w:szCs w:val="32"/>
          <w:shd w:val="clear" w:fill="FFFFFF"/>
          <w:lang w:val="en-US" w:eastAsia="zh-CN"/>
        </w:rPr>
        <w:t>10.75</w:t>
      </w:r>
      <w:r>
        <w:rPr>
          <w:rFonts w:hint="eastAsia" w:ascii="仿宋_GB2312" w:hAnsi="仿宋_GB2312" w:eastAsia="仿宋_GB2312" w:cs="仿宋_GB2312"/>
          <w:i w:val="0"/>
          <w:caps w:val="0"/>
          <w:color w:val="auto"/>
          <w:spacing w:val="0"/>
          <w:sz w:val="32"/>
          <w:szCs w:val="32"/>
          <w:shd w:val="clear" w:fill="FFFFFF"/>
        </w:rPr>
        <w:t>%，其中办公费</w:t>
      </w:r>
      <w:r>
        <w:rPr>
          <w:rFonts w:hint="eastAsia" w:ascii="仿宋_GB2312" w:hAnsi="仿宋_GB2312" w:eastAsia="仿宋_GB2312" w:cs="仿宋_GB2312"/>
          <w:i w:val="0"/>
          <w:caps w:val="0"/>
          <w:color w:val="auto"/>
          <w:spacing w:val="0"/>
          <w:sz w:val="32"/>
          <w:szCs w:val="32"/>
          <w:shd w:val="clear" w:fill="FFFFFF"/>
          <w:lang w:val="en-US" w:eastAsia="zh-CN"/>
        </w:rPr>
        <w:t>11.5</w:t>
      </w:r>
      <w:r>
        <w:rPr>
          <w:rFonts w:hint="eastAsia" w:ascii="仿宋_GB2312" w:hAnsi="仿宋_GB2312" w:eastAsia="仿宋_GB2312" w:cs="仿宋_GB2312"/>
          <w:i w:val="0"/>
          <w:caps w:val="0"/>
          <w:color w:val="auto"/>
          <w:spacing w:val="0"/>
          <w:sz w:val="32"/>
          <w:szCs w:val="32"/>
          <w:shd w:val="clear" w:fill="FFFFFF"/>
        </w:rPr>
        <w:t>万元，印刷费</w:t>
      </w: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eastAsia="仿宋_GB2312" w:cs="仿宋_GB2312"/>
          <w:i w:val="0"/>
          <w:caps w:val="0"/>
          <w:color w:val="auto"/>
          <w:spacing w:val="0"/>
          <w:sz w:val="32"/>
          <w:szCs w:val="32"/>
          <w:shd w:val="clear" w:fill="FFFFFF"/>
          <w:lang w:eastAsia="zh-CN"/>
        </w:rPr>
        <w:t>电费</w:t>
      </w:r>
      <w:r>
        <w:rPr>
          <w:rFonts w:hint="eastAsia" w:ascii="仿宋_GB2312" w:hAnsi="仿宋_GB2312" w:eastAsia="仿宋_GB2312" w:cs="仿宋_GB2312"/>
          <w:i w:val="0"/>
          <w:caps w:val="0"/>
          <w:color w:val="auto"/>
          <w:spacing w:val="0"/>
          <w:sz w:val="32"/>
          <w:szCs w:val="32"/>
          <w:shd w:val="clear" w:fill="FFFFFF"/>
          <w:lang w:val="en-US" w:eastAsia="zh-CN"/>
        </w:rPr>
        <w:t>7万，</w:t>
      </w:r>
      <w:r>
        <w:rPr>
          <w:rFonts w:hint="eastAsia" w:ascii="仿宋_GB2312" w:hAnsi="仿宋_GB2312" w:eastAsia="仿宋_GB2312" w:cs="仿宋_GB2312"/>
          <w:i w:val="0"/>
          <w:caps w:val="0"/>
          <w:color w:val="auto"/>
          <w:spacing w:val="0"/>
          <w:sz w:val="32"/>
          <w:szCs w:val="32"/>
          <w:shd w:val="clear" w:fill="FFFFFF"/>
        </w:rPr>
        <w:t>邮电费</w:t>
      </w: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万元，差旅费</w:t>
      </w:r>
      <w:r>
        <w:rPr>
          <w:rFonts w:hint="eastAsia" w:ascii="仿宋_GB2312" w:hAnsi="仿宋_GB2312" w:eastAsia="仿宋_GB2312" w:cs="仿宋_GB2312"/>
          <w:i w:val="0"/>
          <w:caps w:val="0"/>
          <w:color w:val="auto"/>
          <w:spacing w:val="0"/>
          <w:sz w:val="32"/>
          <w:szCs w:val="32"/>
          <w:shd w:val="clear" w:fill="FFFFFF"/>
          <w:lang w:val="en-US" w:eastAsia="zh-CN"/>
        </w:rPr>
        <w:t>7</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eastAsia="仿宋_GB2312" w:cs="仿宋_GB2312"/>
          <w:i w:val="0"/>
          <w:caps w:val="0"/>
          <w:color w:val="auto"/>
          <w:spacing w:val="0"/>
          <w:sz w:val="32"/>
          <w:szCs w:val="32"/>
          <w:shd w:val="clear" w:fill="FFFFFF"/>
          <w:lang w:eastAsia="zh-CN"/>
        </w:rPr>
        <w:t>维修费</w:t>
      </w:r>
      <w:r>
        <w:rPr>
          <w:rFonts w:hint="eastAsia" w:ascii="仿宋_GB2312" w:hAnsi="仿宋_GB2312" w:eastAsia="仿宋_GB2312" w:cs="仿宋_GB2312"/>
          <w:i w:val="0"/>
          <w:caps w:val="0"/>
          <w:color w:val="auto"/>
          <w:spacing w:val="0"/>
          <w:sz w:val="32"/>
          <w:szCs w:val="32"/>
          <w:shd w:val="clear" w:fill="FFFFFF"/>
          <w:lang w:val="en-US" w:eastAsia="zh-CN"/>
        </w:rPr>
        <w:t>5万元，</w:t>
      </w:r>
      <w:r>
        <w:rPr>
          <w:rFonts w:hint="eastAsia" w:ascii="仿宋_GB2312" w:hAnsi="仿宋_GB2312" w:eastAsia="仿宋_GB2312" w:cs="仿宋_GB2312"/>
          <w:i w:val="0"/>
          <w:caps w:val="0"/>
          <w:color w:val="auto"/>
          <w:spacing w:val="0"/>
          <w:sz w:val="32"/>
          <w:szCs w:val="32"/>
          <w:shd w:val="clear" w:fill="FFFFFF"/>
          <w:lang w:eastAsia="zh-CN"/>
        </w:rPr>
        <w:t>会议费</w:t>
      </w:r>
      <w:r>
        <w:rPr>
          <w:rFonts w:hint="eastAsia" w:ascii="仿宋_GB2312" w:hAnsi="仿宋_GB2312" w:eastAsia="仿宋_GB2312" w:cs="仿宋_GB2312"/>
          <w:i w:val="0"/>
          <w:caps w:val="0"/>
          <w:color w:val="auto"/>
          <w:spacing w:val="0"/>
          <w:sz w:val="32"/>
          <w:szCs w:val="32"/>
          <w:shd w:val="clear" w:fill="FFFFFF"/>
          <w:lang w:val="en-US" w:eastAsia="zh-CN"/>
        </w:rPr>
        <w:t>0.5万元，培训费0.5万元，</w:t>
      </w:r>
      <w:r>
        <w:rPr>
          <w:rFonts w:hint="eastAsia" w:ascii="仿宋_GB2312" w:hAnsi="仿宋_GB2312" w:eastAsia="仿宋_GB2312" w:cs="仿宋_GB2312"/>
          <w:i w:val="0"/>
          <w:caps w:val="0"/>
          <w:color w:val="auto"/>
          <w:spacing w:val="0"/>
          <w:sz w:val="32"/>
          <w:szCs w:val="32"/>
          <w:shd w:val="clear" w:fill="FFFFFF"/>
        </w:rPr>
        <w:t>公务接待费</w:t>
      </w:r>
      <w:r>
        <w:rPr>
          <w:rFonts w:hint="eastAsia" w:ascii="仿宋_GB2312" w:hAnsi="仿宋_GB2312" w:eastAsia="仿宋_GB2312" w:cs="仿宋_GB2312"/>
          <w:i w:val="0"/>
          <w:caps w:val="0"/>
          <w:color w:val="auto"/>
          <w:spacing w:val="0"/>
          <w:sz w:val="32"/>
          <w:szCs w:val="32"/>
          <w:shd w:val="clear" w:fill="FFFFFF"/>
          <w:lang w:val="en-US" w:eastAsia="zh-CN"/>
        </w:rPr>
        <w:t>1</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eastAsia="仿宋_GB2312" w:cs="仿宋_GB2312"/>
          <w:i w:val="0"/>
          <w:caps w:val="0"/>
          <w:color w:val="auto"/>
          <w:spacing w:val="0"/>
          <w:sz w:val="32"/>
          <w:szCs w:val="32"/>
          <w:shd w:val="clear" w:fill="FFFFFF"/>
          <w:lang w:eastAsia="zh-CN"/>
        </w:rPr>
        <w:t>劳务费</w:t>
      </w:r>
      <w:r>
        <w:rPr>
          <w:rFonts w:hint="eastAsia" w:ascii="仿宋_GB2312" w:hAnsi="仿宋_GB2312" w:eastAsia="仿宋_GB2312" w:cs="仿宋_GB2312"/>
          <w:i w:val="0"/>
          <w:caps w:val="0"/>
          <w:color w:val="auto"/>
          <w:spacing w:val="0"/>
          <w:sz w:val="32"/>
          <w:szCs w:val="32"/>
          <w:shd w:val="clear" w:fill="FFFFFF"/>
          <w:lang w:val="en-US" w:eastAsia="zh-CN"/>
        </w:rPr>
        <w:t>4万元，委托业务费8万元，</w:t>
      </w:r>
      <w:r>
        <w:rPr>
          <w:rFonts w:hint="eastAsia" w:ascii="仿宋_GB2312" w:hAnsi="仿宋_GB2312" w:eastAsia="仿宋_GB2312" w:cs="仿宋_GB2312"/>
          <w:i w:val="0"/>
          <w:caps w:val="0"/>
          <w:color w:val="auto"/>
          <w:spacing w:val="0"/>
          <w:sz w:val="32"/>
          <w:szCs w:val="32"/>
          <w:shd w:val="clear" w:fill="FFFFFF"/>
        </w:rPr>
        <w:t>工会经费</w:t>
      </w:r>
      <w:r>
        <w:rPr>
          <w:rFonts w:hint="eastAsia" w:ascii="仿宋_GB2312" w:hAnsi="仿宋_GB2312" w:eastAsia="仿宋_GB2312" w:cs="仿宋_GB2312"/>
          <w:i w:val="0"/>
          <w:caps w:val="0"/>
          <w:color w:val="auto"/>
          <w:spacing w:val="0"/>
          <w:sz w:val="32"/>
          <w:szCs w:val="32"/>
          <w:shd w:val="clear" w:fill="FFFFFF"/>
          <w:lang w:val="en-US" w:eastAsia="zh-CN"/>
        </w:rPr>
        <w:t>9.58</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eastAsia="仿宋_GB2312" w:cs="仿宋_GB2312"/>
          <w:i w:val="0"/>
          <w:caps w:val="0"/>
          <w:color w:val="auto"/>
          <w:spacing w:val="0"/>
          <w:sz w:val="32"/>
          <w:szCs w:val="32"/>
          <w:shd w:val="clear" w:fill="FFFFFF"/>
          <w:lang w:eastAsia="zh-CN"/>
        </w:rPr>
        <w:t>福利费</w:t>
      </w:r>
      <w:r>
        <w:rPr>
          <w:rFonts w:hint="eastAsia" w:ascii="仿宋_GB2312" w:hAnsi="仿宋_GB2312" w:eastAsia="仿宋_GB2312" w:cs="仿宋_GB2312"/>
          <w:i w:val="0"/>
          <w:caps w:val="0"/>
          <w:color w:val="auto"/>
          <w:spacing w:val="0"/>
          <w:sz w:val="32"/>
          <w:szCs w:val="32"/>
          <w:shd w:val="clear" w:fill="FFFFFF"/>
          <w:lang w:val="en-US" w:eastAsia="zh-CN"/>
        </w:rPr>
        <w:t>11.98万元，公车运行维护费3万元，</w:t>
      </w:r>
      <w:r>
        <w:rPr>
          <w:rFonts w:hint="eastAsia" w:ascii="仿宋_GB2312" w:hAnsi="仿宋_GB2312" w:eastAsia="仿宋_GB2312" w:cs="仿宋_GB2312"/>
          <w:i w:val="0"/>
          <w:caps w:val="0"/>
          <w:color w:val="auto"/>
          <w:spacing w:val="0"/>
          <w:sz w:val="32"/>
          <w:szCs w:val="32"/>
          <w:shd w:val="clear" w:fill="FFFFFF"/>
        </w:rPr>
        <w:t>其他交通费用</w:t>
      </w:r>
      <w:r>
        <w:rPr>
          <w:rFonts w:hint="eastAsia" w:ascii="仿宋_GB2312" w:hAnsi="仿宋_GB2312" w:eastAsia="仿宋_GB2312" w:cs="仿宋_GB2312"/>
          <w:i w:val="0"/>
          <w:caps w:val="0"/>
          <w:color w:val="auto"/>
          <w:spacing w:val="0"/>
          <w:sz w:val="32"/>
          <w:szCs w:val="32"/>
          <w:shd w:val="clear" w:fill="FFFFFF"/>
          <w:lang w:val="en-US" w:eastAsia="zh-CN"/>
        </w:rPr>
        <w:t>18.94</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eastAsia="仿宋_GB2312" w:cs="仿宋_GB2312"/>
          <w:i w:val="0"/>
          <w:caps w:val="0"/>
          <w:color w:val="auto"/>
          <w:spacing w:val="0"/>
          <w:sz w:val="32"/>
          <w:szCs w:val="32"/>
          <w:shd w:val="clear" w:fill="FFFFFF"/>
          <w:lang w:val="en-US" w:eastAsia="zh-CN"/>
        </w:rPr>
        <w:t>，</w:t>
      </w:r>
      <w:r>
        <w:rPr>
          <w:rFonts w:hint="eastAsia" w:ascii="仿宋_GB2312" w:hAnsi="仿宋_GB2312" w:eastAsia="仿宋_GB2312" w:cs="仿宋_GB2312"/>
          <w:i w:val="0"/>
          <w:caps w:val="0"/>
          <w:color w:val="auto"/>
          <w:spacing w:val="0"/>
          <w:sz w:val="32"/>
          <w:szCs w:val="32"/>
          <w:shd w:val="clear" w:fill="FFFFFF"/>
        </w:rPr>
        <w:t>其他商品服务支出</w:t>
      </w:r>
      <w:r>
        <w:rPr>
          <w:rFonts w:hint="eastAsia" w:ascii="仿宋_GB2312" w:hAnsi="仿宋_GB2312" w:eastAsia="仿宋_GB2312" w:cs="仿宋_GB2312"/>
          <w:i w:val="0"/>
          <w:caps w:val="0"/>
          <w:color w:val="auto"/>
          <w:spacing w:val="0"/>
          <w:sz w:val="32"/>
          <w:szCs w:val="32"/>
          <w:shd w:val="clear" w:fill="FFFFFF"/>
          <w:lang w:val="en-US" w:eastAsia="zh-CN"/>
        </w:rPr>
        <w:t>18.65</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eastAsia="仿宋_GB2312" w:cs="仿宋_GB2312"/>
          <w:i w:val="0"/>
          <w:caps w:val="0"/>
          <w:color w:val="auto"/>
          <w:spacing w:val="0"/>
          <w:sz w:val="32"/>
          <w:szCs w:val="32"/>
          <w:shd w:val="clear" w:fill="FFFFFF"/>
          <w:lang w:eastAsia="zh-CN"/>
        </w:rPr>
        <w:t>，办公设备购置</w:t>
      </w:r>
      <w:r>
        <w:rPr>
          <w:rFonts w:hint="eastAsia" w:ascii="仿宋_GB2312" w:hAnsi="仿宋_GB2312" w:eastAsia="仿宋_GB2312" w:cs="仿宋_GB2312"/>
          <w:i w:val="0"/>
          <w:caps w:val="0"/>
          <w:color w:val="auto"/>
          <w:spacing w:val="0"/>
          <w:sz w:val="32"/>
          <w:szCs w:val="32"/>
          <w:shd w:val="clear" w:fill="FFFFFF"/>
          <w:lang w:val="en-US" w:eastAsia="zh-CN"/>
        </w:rPr>
        <w:t>5万元</w:t>
      </w:r>
      <w:r>
        <w:rPr>
          <w:rFonts w:hint="eastAsia" w:ascii="仿宋_GB2312" w:hAnsi="仿宋_GB2312" w:eastAsia="仿宋_GB2312" w:cs="仿宋_GB2312"/>
          <w:i w:val="0"/>
          <w:caps w:val="0"/>
          <w:color w:val="auto"/>
          <w:spacing w:val="0"/>
          <w:sz w:val="32"/>
          <w:szCs w:val="32"/>
          <w:shd w:val="clear"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rPr>
        <w:t>与</w:t>
      </w:r>
      <w:r>
        <w:rPr>
          <w:rFonts w:hint="eastAsia" w:ascii="仿宋_GB2312" w:hAnsi="仿宋_GB2312" w:eastAsia="仿宋_GB2312" w:cs="仿宋_GB2312"/>
          <w:i w:val="0"/>
          <w:caps w:val="0"/>
          <w:color w:val="auto"/>
          <w:spacing w:val="0"/>
          <w:sz w:val="32"/>
          <w:szCs w:val="32"/>
          <w:shd w:val="clear" w:fill="FFFFFF"/>
          <w:lang w:val="en-US" w:eastAsia="zh-CN"/>
        </w:rPr>
        <w:t>2022</w:t>
      </w:r>
      <w:r>
        <w:rPr>
          <w:rFonts w:hint="eastAsia" w:ascii="仿宋_GB2312" w:hAnsi="仿宋_GB2312" w:eastAsia="仿宋_GB2312" w:cs="仿宋_GB2312"/>
          <w:i w:val="0"/>
          <w:caps w:val="0"/>
          <w:color w:val="auto"/>
          <w:spacing w:val="0"/>
          <w:sz w:val="32"/>
          <w:szCs w:val="32"/>
          <w:shd w:val="clear" w:fill="FFFFFF"/>
        </w:rPr>
        <w:t>年</w:t>
      </w:r>
      <w:r>
        <w:rPr>
          <w:rFonts w:hint="eastAsia" w:ascii="仿宋_GB2312" w:hAnsi="仿宋_GB2312" w:eastAsia="仿宋_GB2312" w:cs="仿宋_GB2312"/>
          <w:i w:val="0"/>
          <w:caps w:val="0"/>
          <w:color w:val="auto"/>
          <w:spacing w:val="0"/>
          <w:sz w:val="32"/>
          <w:szCs w:val="32"/>
          <w:shd w:val="clear" w:fill="FFFFFF"/>
          <w:lang w:val="en-US" w:eastAsia="zh-CN"/>
        </w:rPr>
        <w:t>110.75</w:t>
      </w:r>
      <w:r>
        <w:rPr>
          <w:rFonts w:hint="eastAsia" w:ascii="仿宋_GB2312" w:hAnsi="仿宋_GB2312" w:eastAsia="仿宋_GB2312" w:cs="仿宋_GB2312"/>
          <w:i w:val="0"/>
          <w:caps w:val="0"/>
          <w:color w:val="auto"/>
          <w:spacing w:val="0"/>
          <w:sz w:val="32"/>
          <w:szCs w:val="32"/>
          <w:shd w:val="clear" w:fill="FFFFFF"/>
        </w:rPr>
        <w:t>万元比</w:t>
      </w:r>
      <w:r>
        <w:rPr>
          <w:rFonts w:hint="eastAsia" w:ascii="仿宋_GB2312" w:hAnsi="仿宋_GB2312" w:eastAsia="仿宋_GB2312" w:cs="仿宋_GB2312"/>
          <w:i w:val="0"/>
          <w:caps w:val="0"/>
          <w:color w:val="auto"/>
          <w:spacing w:val="0"/>
          <w:sz w:val="32"/>
          <w:szCs w:val="32"/>
          <w:shd w:val="clear" w:fill="FFFFFF"/>
          <w:lang w:eastAsia="zh-CN"/>
        </w:rPr>
        <w:t>增加</w:t>
      </w:r>
      <w:r>
        <w:rPr>
          <w:rFonts w:hint="eastAsia" w:ascii="仿宋_GB2312" w:hAnsi="仿宋_GB2312" w:eastAsia="仿宋_GB2312" w:cs="仿宋_GB2312"/>
          <w:i w:val="0"/>
          <w:caps w:val="0"/>
          <w:color w:val="auto"/>
          <w:spacing w:val="0"/>
          <w:sz w:val="32"/>
          <w:szCs w:val="32"/>
          <w:shd w:val="clear" w:fill="FFFFFF"/>
          <w:lang w:val="en-US" w:eastAsia="zh-CN"/>
        </w:rPr>
        <w:t>5.91</w:t>
      </w:r>
      <w:r>
        <w:rPr>
          <w:rFonts w:hint="eastAsia" w:ascii="仿宋_GB2312" w:hAnsi="仿宋_GB2312" w:eastAsia="仿宋_GB2312" w:cs="仿宋_GB2312"/>
          <w:i w:val="0"/>
          <w:caps w:val="0"/>
          <w:color w:val="auto"/>
          <w:spacing w:val="0"/>
          <w:sz w:val="32"/>
          <w:szCs w:val="32"/>
          <w:shd w:val="clear" w:fill="FFFFFF"/>
        </w:rPr>
        <w:t>万元，同比</w:t>
      </w:r>
      <w:r>
        <w:rPr>
          <w:rFonts w:hint="eastAsia" w:ascii="仿宋_GB2312" w:hAnsi="仿宋_GB2312" w:eastAsia="仿宋_GB2312" w:cs="仿宋_GB2312"/>
          <w:i w:val="0"/>
          <w:caps w:val="0"/>
          <w:color w:val="auto"/>
          <w:spacing w:val="0"/>
          <w:sz w:val="32"/>
          <w:szCs w:val="32"/>
          <w:shd w:val="clear" w:fill="FFFFFF"/>
          <w:lang w:eastAsia="zh-CN"/>
        </w:rPr>
        <w:t>增加</w:t>
      </w:r>
      <w:r>
        <w:rPr>
          <w:rFonts w:hint="eastAsia" w:ascii="仿宋_GB2312" w:hAnsi="仿宋_GB2312" w:eastAsia="仿宋_GB2312" w:cs="仿宋_GB2312"/>
          <w:i w:val="0"/>
          <w:caps w:val="0"/>
          <w:color w:val="auto"/>
          <w:spacing w:val="0"/>
          <w:sz w:val="32"/>
          <w:szCs w:val="32"/>
          <w:shd w:val="clear" w:fill="FFFFFF"/>
          <w:lang w:val="en-US" w:eastAsia="zh-CN"/>
        </w:rPr>
        <w:t>5.34</w:t>
      </w:r>
      <w:r>
        <w:rPr>
          <w:rFonts w:hint="eastAsia" w:ascii="仿宋_GB2312" w:hAnsi="仿宋_GB2312" w:eastAsia="仿宋_GB2312" w:cs="仿宋_GB2312"/>
          <w:i w:val="0"/>
          <w:caps w:val="0"/>
          <w:color w:val="auto"/>
          <w:spacing w:val="0"/>
          <w:sz w:val="32"/>
          <w:szCs w:val="32"/>
          <w:shd w:val="clear" w:fill="FFFFFF"/>
        </w:rPr>
        <w:t>%。主要是由于</w:t>
      </w:r>
      <w:r>
        <w:rPr>
          <w:rFonts w:hint="eastAsia" w:ascii="仿宋_GB2312" w:hAnsi="仿宋_GB2312" w:eastAsia="仿宋_GB2312" w:cs="仿宋_GB2312"/>
          <w:i w:val="0"/>
          <w:caps w:val="0"/>
          <w:color w:val="auto"/>
          <w:spacing w:val="0"/>
          <w:sz w:val="32"/>
          <w:szCs w:val="32"/>
          <w:shd w:val="clear" w:fill="FFFFFF"/>
          <w:lang w:eastAsia="zh-CN"/>
        </w:rPr>
        <w:t>办公楼运维和公务用车运维费用</w:t>
      </w:r>
      <w:r>
        <w:rPr>
          <w:rFonts w:hint="eastAsia" w:ascii="仿宋_GB2312" w:hAnsi="仿宋_GB2312" w:eastAsia="仿宋_GB2312" w:cs="仿宋_GB2312"/>
          <w:i w:val="0"/>
          <w:caps w:val="0"/>
          <w:color w:val="auto"/>
          <w:spacing w:val="0"/>
          <w:sz w:val="32"/>
          <w:szCs w:val="32"/>
          <w:shd w:val="clear" w:fill="FFFFFF"/>
          <w:lang w:val="en-US" w:eastAsia="zh-CN"/>
        </w:rPr>
        <w:t>2022年预算纳入项目支出、2023年预算纳入基本支出，导致机关运行经费增加。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_GB2312" w:hAnsi="楷体_GB2312" w:eastAsia="楷体_GB2312" w:cs="楷体_GB2312"/>
          <w:b/>
          <w:bCs/>
          <w:i w:val="0"/>
          <w:caps w:val="0"/>
          <w:color w:val="auto"/>
          <w:spacing w:val="0"/>
          <w:sz w:val="32"/>
          <w:szCs w:val="32"/>
        </w:rPr>
      </w:pPr>
      <w:r>
        <w:rPr>
          <w:rFonts w:hint="eastAsia" w:ascii="楷体_GB2312" w:hAnsi="楷体_GB2312" w:eastAsia="楷体_GB2312" w:cs="楷体_GB2312"/>
          <w:b/>
          <w:bCs/>
          <w:i w:val="0"/>
          <w:caps w:val="0"/>
          <w:color w:val="auto"/>
          <w:spacing w:val="0"/>
          <w:sz w:val="32"/>
          <w:szCs w:val="32"/>
          <w:shd w:val="clear" w:fill="FFFFFF"/>
        </w:rPr>
        <w:t>（三）“三公”经费情况说明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rPr>
        <w:t>202</w:t>
      </w: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年部门“三公”经费预算总数</w:t>
      </w:r>
      <w:r>
        <w:rPr>
          <w:rFonts w:hint="eastAsia" w:ascii="仿宋_GB2312" w:hAnsi="仿宋_GB2312" w:eastAsia="仿宋_GB2312" w:cs="仿宋_GB2312"/>
          <w:i w:val="0"/>
          <w:caps w:val="0"/>
          <w:color w:val="auto"/>
          <w:spacing w:val="0"/>
          <w:sz w:val="32"/>
          <w:szCs w:val="32"/>
          <w:shd w:val="clear" w:fill="FFFFFF"/>
          <w:lang w:val="en-US" w:eastAsia="zh-CN"/>
        </w:rPr>
        <w:t>7</w:t>
      </w:r>
      <w:r>
        <w:rPr>
          <w:rFonts w:hint="eastAsia" w:ascii="仿宋_GB2312" w:hAnsi="仿宋_GB2312" w:eastAsia="仿宋_GB2312" w:cs="仿宋_GB2312"/>
          <w:i w:val="0"/>
          <w:caps w:val="0"/>
          <w:color w:val="auto"/>
          <w:spacing w:val="0"/>
          <w:sz w:val="32"/>
          <w:szCs w:val="32"/>
          <w:shd w:val="clear" w:fill="FFFFFF"/>
        </w:rPr>
        <w:t>万元，比20</w:t>
      </w:r>
      <w:r>
        <w:rPr>
          <w:rFonts w:hint="eastAsia" w:ascii="仿宋_GB2312" w:hAnsi="仿宋_GB2312" w:eastAsia="仿宋_GB2312" w:cs="仿宋_GB2312"/>
          <w:i w:val="0"/>
          <w:caps w:val="0"/>
          <w:color w:val="auto"/>
          <w:spacing w:val="0"/>
          <w:sz w:val="32"/>
          <w:szCs w:val="32"/>
          <w:shd w:val="clear" w:fill="FFFFFF"/>
          <w:lang w:val="en-US" w:eastAsia="zh-CN"/>
        </w:rPr>
        <w:t>22</w:t>
      </w:r>
      <w:r>
        <w:rPr>
          <w:rFonts w:hint="eastAsia" w:ascii="仿宋_GB2312" w:hAnsi="仿宋_GB2312" w:eastAsia="仿宋_GB2312" w:cs="仿宋_GB2312"/>
          <w:i w:val="0"/>
          <w:caps w:val="0"/>
          <w:color w:val="auto"/>
          <w:spacing w:val="0"/>
          <w:sz w:val="32"/>
          <w:szCs w:val="32"/>
          <w:shd w:val="clear" w:fill="FFFFFF"/>
        </w:rPr>
        <w:t>年预算</w:t>
      </w:r>
      <w:r>
        <w:rPr>
          <w:rFonts w:hint="eastAsia" w:ascii="仿宋_GB2312" w:hAnsi="仿宋_GB2312" w:eastAsia="仿宋_GB2312" w:cs="仿宋_GB2312"/>
          <w:i w:val="0"/>
          <w:caps w:val="0"/>
          <w:color w:val="auto"/>
          <w:spacing w:val="0"/>
          <w:sz w:val="32"/>
          <w:szCs w:val="32"/>
          <w:shd w:val="clear" w:fill="FFFFFF"/>
          <w:lang w:val="en-US" w:eastAsia="zh-CN"/>
        </w:rPr>
        <w:t>10.3</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eastAsia="仿宋_GB2312" w:cs="仿宋_GB2312"/>
          <w:i w:val="0"/>
          <w:caps w:val="0"/>
          <w:color w:val="auto"/>
          <w:spacing w:val="0"/>
          <w:sz w:val="32"/>
          <w:szCs w:val="32"/>
          <w:shd w:val="clear" w:fill="FFFFFF"/>
          <w:lang w:eastAsia="zh-CN"/>
        </w:rPr>
        <w:t>减少</w:t>
      </w:r>
      <w:r>
        <w:rPr>
          <w:rFonts w:hint="eastAsia" w:ascii="仿宋_GB2312" w:hAnsi="仿宋_GB2312" w:eastAsia="仿宋_GB2312" w:cs="仿宋_GB2312"/>
          <w:i w:val="0"/>
          <w:caps w:val="0"/>
          <w:color w:val="auto"/>
          <w:spacing w:val="0"/>
          <w:sz w:val="32"/>
          <w:szCs w:val="32"/>
          <w:shd w:val="clear" w:fill="FFFFFF"/>
          <w:lang w:val="en-US" w:eastAsia="zh-CN"/>
        </w:rPr>
        <w:t>3.3</w:t>
      </w:r>
      <w:r>
        <w:rPr>
          <w:rFonts w:hint="eastAsia" w:ascii="仿宋_GB2312" w:hAnsi="仿宋_GB2312" w:eastAsia="仿宋_GB2312" w:cs="仿宋_GB2312"/>
          <w:i w:val="0"/>
          <w:caps w:val="0"/>
          <w:color w:val="auto"/>
          <w:spacing w:val="0"/>
          <w:sz w:val="32"/>
          <w:szCs w:val="32"/>
          <w:shd w:val="clear" w:fill="FFFFFF"/>
        </w:rPr>
        <w:t>万元，同比</w:t>
      </w:r>
      <w:r>
        <w:rPr>
          <w:rFonts w:hint="eastAsia" w:ascii="仿宋_GB2312" w:hAnsi="仿宋_GB2312" w:eastAsia="仿宋_GB2312" w:cs="仿宋_GB2312"/>
          <w:i w:val="0"/>
          <w:caps w:val="0"/>
          <w:color w:val="auto"/>
          <w:spacing w:val="0"/>
          <w:sz w:val="32"/>
          <w:szCs w:val="32"/>
          <w:shd w:val="clear" w:fill="FFFFFF"/>
          <w:lang w:eastAsia="zh-CN"/>
        </w:rPr>
        <w:t>降低</w:t>
      </w:r>
      <w:r>
        <w:rPr>
          <w:rFonts w:hint="eastAsia" w:ascii="仿宋_GB2312" w:hAnsi="仿宋_GB2312" w:eastAsia="仿宋_GB2312" w:cs="仿宋_GB2312"/>
          <w:i w:val="0"/>
          <w:caps w:val="0"/>
          <w:color w:val="auto"/>
          <w:spacing w:val="0"/>
          <w:sz w:val="32"/>
          <w:szCs w:val="32"/>
          <w:shd w:val="clear" w:fill="FFFFFF"/>
          <w:lang w:val="en-US" w:eastAsia="zh-CN"/>
        </w:rPr>
        <w:t>32.04</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rPr>
        <w:t>其中：因公出国（境）费0万元，无变化</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公务接待费</w:t>
      </w: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rPr>
        <w:t>万元，比20</w:t>
      </w:r>
      <w:r>
        <w:rPr>
          <w:rFonts w:hint="eastAsia" w:ascii="仿宋_GB2312" w:hAnsi="仿宋_GB2312" w:eastAsia="仿宋_GB2312" w:cs="仿宋_GB2312"/>
          <w:i w:val="0"/>
          <w:caps w:val="0"/>
          <w:color w:val="auto"/>
          <w:spacing w:val="0"/>
          <w:sz w:val="32"/>
          <w:szCs w:val="32"/>
          <w:shd w:val="clear" w:fill="FFFFFF"/>
          <w:lang w:val="en-US" w:eastAsia="zh-CN"/>
        </w:rPr>
        <w:t>22</w:t>
      </w:r>
      <w:r>
        <w:rPr>
          <w:rFonts w:hint="eastAsia" w:ascii="仿宋_GB2312" w:hAnsi="仿宋_GB2312" w:eastAsia="仿宋_GB2312" w:cs="仿宋_GB2312"/>
          <w:i w:val="0"/>
          <w:caps w:val="0"/>
          <w:color w:val="auto"/>
          <w:spacing w:val="0"/>
          <w:sz w:val="32"/>
          <w:szCs w:val="32"/>
          <w:shd w:val="clear" w:fill="FFFFFF"/>
        </w:rPr>
        <w:t>年</w:t>
      </w:r>
      <w:r>
        <w:rPr>
          <w:rFonts w:hint="eastAsia" w:ascii="仿宋_GB2312" w:hAnsi="仿宋_GB2312" w:eastAsia="仿宋_GB2312" w:cs="仿宋_GB2312"/>
          <w:i w:val="0"/>
          <w:caps w:val="0"/>
          <w:color w:val="auto"/>
          <w:spacing w:val="0"/>
          <w:sz w:val="32"/>
          <w:szCs w:val="32"/>
          <w:shd w:val="clear" w:fill="FFFFFF"/>
          <w:lang w:val="en-US" w:eastAsia="zh-CN"/>
        </w:rPr>
        <w:t>3.3</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eastAsia="仿宋_GB2312" w:cs="仿宋_GB2312"/>
          <w:i w:val="0"/>
          <w:caps w:val="0"/>
          <w:color w:val="auto"/>
          <w:spacing w:val="0"/>
          <w:sz w:val="32"/>
          <w:szCs w:val="32"/>
          <w:shd w:val="clear" w:fill="FFFFFF"/>
          <w:lang w:eastAsia="zh-CN"/>
        </w:rPr>
        <w:t>减少</w:t>
      </w:r>
      <w:r>
        <w:rPr>
          <w:rFonts w:hint="eastAsia" w:ascii="仿宋_GB2312" w:hAnsi="仿宋_GB2312" w:eastAsia="仿宋_GB2312" w:cs="仿宋_GB2312"/>
          <w:i w:val="0"/>
          <w:caps w:val="0"/>
          <w:color w:val="auto"/>
          <w:spacing w:val="0"/>
          <w:sz w:val="32"/>
          <w:szCs w:val="32"/>
          <w:shd w:val="clear" w:fill="FFFFFF"/>
          <w:lang w:val="en-US" w:eastAsia="zh-CN"/>
        </w:rPr>
        <w:t>1.3</w:t>
      </w:r>
      <w:r>
        <w:rPr>
          <w:rFonts w:hint="eastAsia" w:ascii="仿宋_GB2312" w:hAnsi="仿宋_GB2312" w:eastAsia="仿宋_GB2312" w:cs="仿宋_GB2312"/>
          <w:i w:val="0"/>
          <w:caps w:val="0"/>
          <w:color w:val="auto"/>
          <w:spacing w:val="0"/>
          <w:sz w:val="32"/>
          <w:szCs w:val="32"/>
          <w:shd w:val="clear" w:fill="FFFFFF"/>
        </w:rPr>
        <w:t>万元，同比</w:t>
      </w:r>
      <w:r>
        <w:rPr>
          <w:rFonts w:hint="eastAsia" w:ascii="仿宋_GB2312" w:hAnsi="仿宋_GB2312" w:eastAsia="仿宋_GB2312" w:cs="仿宋_GB2312"/>
          <w:i w:val="0"/>
          <w:caps w:val="0"/>
          <w:color w:val="auto"/>
          <w:spacing w:val="0"/>
          <w:sz w:val="32"/>
          <w:szCs w:val="32"/>
          <w:shd w:val="clear" w:fill="FFFFFF"/>
          <w:lang w:eastAsia="zh-CN"/>
        </w:rPr>
        <w:t>降低</w:t>
      </w:r>
      <w:r>
        <w:rPr>
          <w:rFonts w:hint="eastAsia" w:ascii="仿宋_GB2312" w:hAnsi="仿宋_GB2312" w:eastAsia="仿宋_GB2312" w:cs="仿宋_GB2312"/>
          <w:i w:val="0"/>
          <w:caps w:val="0"/>
          <w:color w:val="auto"/>
          <w:spacing w:val="0"/>
          <w:sz w:val="32"/>
          <w:szCs w:val="32"/>
          <w:shd w:val="clear" w:fill="FFFFFF"/>
          <w:lang w:val="en-US" w:eastAsia="zh-CN"/>
        </w:rPr>
        <w:t>39.39</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公务用车购置和运行费</w:t>
      </w:r>
      <w:r>
        <w:rPr>
          <w:rFonts w:hint="eastAsia" w:ascii="仿宋_GB2312" w:hAnsi="仿宋_GB2312" w:eastAsia="仿宋_GB2312" w:cs="仿宋_GB2312"/>
          <w:i w:val="0"/>
          <w:caps w:val="0"/>
          <w:color w:val="auto"/>
          <w:spacing w:val="0"/>
          <w:sz w:val="32"/>
          <w:szCs w:val="32"/>
          <w:shd w:val="clear" w:fill="FFFFFF"/>
          <w:lang w:val="en-US" w:eastAsia="zh-CN"/>
        </w:rPr>
        <w:t>5</w:t>
      </w:r>
      <w:r>
        <w:rPr>
          <w:rFonts w:hint="eastAsia" w:ascii="仿宋_GB2312" w:hAnsi="仿宋_GB2312" w:eastAsia="仿宋_GB2312" w:cs="仿宋_GB2312"/>
          <w:i w:val="0"/>
          <w:caps w:val="0"/>
          <w:color w:val="auto"/>
          <w:spacing w:val="0"/>
          <w:sz w:val="32"/>
          <w:szCs w:val="32"/>
          <w:shd w:val="clear" w:fill="FFFFFF"/>
        </w:rPr>
        <w:t>万元，比20</w:t>
      </w:r>
      <w:r>
        <w:rPr>
          <w:rFonts w:hint="eastAsia" w:ascii="仿宋_GB2312" w:hAnsi="仿宋_GB2312" w:eastAsia="仿宋_GB2312" w:cs="仿宋_GB2312"/>
          <w:i w:val="0"/>
          <w:caps w:val="0"/>
          <w:color w:val="auto"/>
          <w:spacing w:val="0"/>
          <w:sz w:val="32"/>
          <w:szCs w:val="32"/>
          <w:shd w:val="clear" w:fill="FFFFFF"/>
          <w:lang w:val="en-US" w:eastAsia="zh-CN"/>
        </w:rPr>
        <w:t>22</w:t>
      </w:r>
      <w:r>
        <w:rPr>
          <w:rFonts w:hint="eastAsia" w:ascii="仿宋_GB2312" w:hAnsi="仿宋_GB2312" w:eastAsia="仿宋_GB2312" w:cs="仿宋_GB2312"/>
          <w:i w:val="0"/>
          <w:caps w:val="0"/>
          <w:color w:val="auto"/>
          <w:spacing w:val="0"/>
          <w:sz w:val="32"/>
          <w:szCs w:val="32"/>
          <w:shd w:val="clear" w:fill="FFFFFF"/>
        </w:rPr>
        <w:t>年</w:t>
      </w:r>
      <w:r>
        <w:rPr>
          <w:rFonts w:hint="eastAsia" w:ascii="仿宋_GB2312" w:hAnsi="仿宋_GB2312" w:eastAsia="仿宋_GB2312" w:cs="仿宋_GB2312"/>
          <w:i w:val="0"/>
          <w:caps w:val="0"/>
          <w:color w:val="auto"/>
          <w:spacing w:val="0"/>
          <w:sz w:val="32"/>
          <w:szCs w:val="32"/>
          <w:shd w:val="clear" w:fill="FFFFFF"/>
          <w:lang w:val="en-US" w:eastAsia="zh-CN"/>
        </w:rPr>
        <w:t>7</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eastAsia="仿宋_GB2312" w:cs="仿宋_GB2312"/>
          <w:i w:val="0"/>
          <w:caps w:val="0"/>
          <w:color w:val="auto"/>
          <w:spacing w:val="0"/>
          <w:sz w:val="32"/>
          <w:szCs w:val="32"/>
          <w:shd w:val="clear" w:fill="FFFFFF"/>
          <w:lang w:eastAsia="zh-CN"/>
        </w:rPr>
        <w:t>减少</w:t>
      </w: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rPr>
        <w:t>万元，同比</w:t>
      </w:r>
      <w:r>
        <w:rPr>
          <w:rFonts w:hint="eastAsia" w:ascii="仿宋_GB2312" w:hAnsi="仿宋_GB2312" w:eastAsia="仿宋_GB2312" w:cs="仿宋_GB2312"/>
          <w:i w:val="0"/>
          <w:caps w:val="0"/>
          <w:color w:val="auto"/>
          <w:spacing w:val="0"/>
          <w:sz w:val="32"/>
          <w:szCs w:val="32"/>
          <w:shd w:val="clear" w:fill="FFFFFF"/>
          <w:lang w:eastAsia="zh-CN"/>
        </w:rPr>
        <w:t>降低</w:t>
      </w:r>
      <w:r>
        <w:rPr>
          <w:rFonts w:hint="eastAsia" w:ascii="仿宋_GB2312" w:hAnsi="仿宋_GB2312" w:eastAsia="仿宋_GB2312" w:cs="仿宋_GB2312"/>
          <w:i w:val="0"/>
          <w:caps w:val="0"/>
          <w:color w:val="auto"/>
          <w:spacing w:val="0"/>
          <w:sz w:val="32"/>
          <w:szCs w:val="32"/>
          <w:shd w:val="clear" w:fill="FFFFFF"/>
          <w:lang w:val="en-US" w:eastAsia="zh-CN"/>
        </w:rPr>
        <w:t>28.57</w:t>
      </w:r>
      <w:r>
        <w:rPr>
          <w:rFonts w:hint="eastAsia" w:ascii="仿宋_GB2312" w:hAnsi="仿宋_GB2312" w:eastAsia="仿宋_GB2312" w:cs="仿宋_GB2312"/>
          <w:i w:val="0"/>
          <w:caps w:val="0"/>
          <w:color w:val="auto"/>
          <w:spacing w:val="0"/>
          <w:sz w:val="32"/>
          <w:szCs w:val="32"/>
          <w:shd w:val="clear" w:fill="FFFFFF"/>
        </w:rPr>
        <w:t>%；其中：公务用车购置费为0万元，与</w:t>
      </w:r>
      <w:r>
        <w:rPr>
          <w:rFonts w:hint="eastAsia" w:ascii="仿宋_GB2312" w:hAnsi="仿宋_GB2312" w:eastAsia="仿宋_GB2312" w:cs="仿宋_GB2312"/>
          <w:i w:val="0"/>
          <w:caps w:val="0"/>
          <w:color w:val="auto"/>
          <w:spacing w:val="0"/>
          <w:sz w:val="32"/>
          <w:szCs w:val="32"/>
          <w:shd w:val="clear" w:fill="FFFFFF"/>
          <w:lang w:val="en-US" w:eastAsia="zh-CN"/>
        </w:rPr>
        <w:t>2022</w:t>
      </w:r>
      <w:r>
        <w:rPr>
          <w:rFonts w:hint="eastAsia" w:ascii="仿宋_GB2312" w:hAnsi="仿宋_GB2312" w:eastAsia="仿宋_GB2312" w:cs="仿宋_GB2312"/>
          <w:i w:val="0"/>
          <w:caps w:val="0"/>
          <w:color w:val="auto"/>
          <w:spacing w:val="0"/>
          <w:sz w:val="32"/>
          <w:szCs w:val="32"/>
          <w:shd w:val="clear" w:fill="FFFFFF"/>
        </w:rPr>
        <w:t>年持平</w:t>
      </w:r>
      <w:r>
        <w:rPr>
          <w:rFonts w:hint="eastAsia" w:ascii="仿宋_GB2312" w:hAnsi="仿宋_GB2312" w:eastAsia="仿宋_GB2312" w:cs="仿宋_GB2312"/>
          <w:i w:val="0"/>
          <w:caps w:val="0"/>
          <w:color w:val="auto"/>
          <w:spacing w:val="0"/>
          <w:sz w:val="32"/>
          <w:szCs w:val="32"/>
          <w:shd w:val="clear" w:fill="FFFFFF"/>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rPr>
        <w:t>公务接待费</w:t>
      </w:r>
      <w:r>
        <w:rPr>
          <w:rFonts w:hint="eastAsia" w:ascii="仿宋_GB2312" w:hAnsi="仿宋_GB2312" w:eastAsia="仿宋_GB2312" w:cs="仿宋_GB2312"/>
          <w:i w:val="0"/>
          <w:caps w:val="0"/>
          <w:color w:val="auto"/>
          <w:spacing w:val="0"/>
          <w:sz w:val="32"/>
          <w:szCs w:val="32"/>
          <w:shd w:val="clear" w:fill="FFFFFF"/>
          <w:lang w:eastAsia="zh-CN"/>
        </w:rPr>
        <w:t>与</w:t>
      </w:r>
      <w:r>
        <w:rPr>
          <w:rFonts w:hint="eastAsia" w:ascii="仿宋_GB2312" w:hAnsi="仿宋_GB2312" w:eastAsia="仿宋_GB2312" w:cs="仿宋_GB2312"/>
          <w:i w:val="0"/>
          <w:caps w:val="0"/>
          <w:color w:val="auto"/>
          <w:spacing w:val="0"/>
          <w:sz w:val="32"/>
          <w:szCs w:val="32"/>
          <w:shd w:val="clear" w:fill="FFFFFF"/>
        </w:rPr>
        <w:t>公务用车购置和运行费</w:t>
      </w:r>
      <w:r>
        <w:rPr>
          <w:rFonts w:hint="eastAsia" w:ascii="仿宋_GB2312" w:hAnsi="仿宋_GB2312" w:eastAsia="仿宋_GB2312" w:cs="仿宋_GB2312"/>
          <w:i w:val="0"/>
          <w:caps w:val="0"/>
          <w:color w:val="auto"/>
          <w:spacing w:val="0"/>
          <w:sz w:val="32"/>
          <w:szCs w:val="32"/>
          <w:shd w:val="clear" w:fill="FFFFFF"/>
          <w:lang w:val="en-US" w:eastAsia="zh-CN"/>
        </w:rPr>
        <w:t>降低，</w:t>
      </w:r>
      <w:r>
        <w:rPr>
          <w:rFonts w:hint="eastAsia" w:ascii="仿宋_GB2312" w:hAnsi="仿宋_GB2312" w:eastAsia="仿宋_GB2312" w:cs="仿宋_GB2312"/>
          <w:i w:val="0"/>
          <w:caps w:val="0"/>
          <w:color w:val="auto"/>
          <w:spacing w:val="0"/>
          <w:sz w:val="32"/>
          <w:szCs w:val="32"/>
          <w:shd w:val="clear" w:fill="FFFFFF"/>
          <w:lang w:eastAsia="zh-CN"/>
        </w:rPr>
        <w:t>主要由于按照“过紧日子”要求，压减相关支出，减少三公经费等开支。</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shd w:val="clear" w:fill="FFFFFF"/>
          <w:lang w:eastAsia="zh-CN"/>
        </w:rPr>
        <w:t>二</w:t>
      </w:r>
      <w:r>
        <w:rPr>
          <w:rFonts w:hint="eastAsia" w:ascii="黑体" w:hAnsi="黑体" w:eastAsia="黑体" w:cs="黑体"/>
          <w:i w:val="0"/>
          <w:caps w:val="0"/>
          <w:color w:val="auto"/>
          <w:spacing w:val="0"/>
          <w:sz w:val="32"/>
          <w:szCs w:val="32"/>
          <w:shd w:val="clear" w:fill="FFFFFF"/>
        </w:rPr>
        <w:t>、政府采购安排情况说明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rPr>
        <w:t>20</w:t>
      </w:r>
      <w:r>
        <w:rPr>
          <w:rFonts w:hint="eastAsia" w:ascii="仿宋_GB2312" w:hAnsi="仿宋_GB2312" w:eastAsia="仿宋_GB2312" w:cs="仿宋_GB2312"/>
          <w:i w:val="0"/>
          <w:caps w:val="0"/>
          <w:color w:val="auto"/>
          <w:spacing w:val="0"/>
          <w:sz w:val="32"/>
          <w:szCs w:val="32"/>
          <w:shd w:val="clear" w:fill="FFFFFF"/>
          <w:lang w:val="en-US" w:eastAsia="zh-CN"/>
        </w:rPr>
        <w:t>23</w:t>
      </w:r>
      <w:r>
        <w:rPr>
          <w:rFonts w:hint="eastAsia" w:ascii="仿宋_GB2312" w:hAnsi="仿宋_GB2312" w:eastAsia="仿宋_GB2312" w:cs="仿宋_GB2312"/>
          <w:i w:val="0"/>
          <w:caps w:val="0"/>
          <w:color w:val="auto"/>
          <w:spacing w:val="0"/>
          <w:sz w:val="32"/>
          <w:szCs w:val="32"/>
          <w:shd w:val="clear" w:fill="FFFFFF"/>
        </w:rPr>
        <w:t>年政府采购预算</w:t>
      </w:r>
      <w:r>
        <w:rPr>
          <w:rFonts w:hint="eastAsia" w:ascii="仿宋_GB2312" w:hAnsi="仿宋_GB2312" w:eastAsia="仿宋_GB2312" w:cs="仿宋_GB2312"/>
          <w:i w:val="0"/>
          <w:caps w:val="0"/>
          <w:color w:val="auto"/>
          <w:spacing w:val="0"/>
          <w:sz w:val="32"/>
          <w:szCs w:val="32"/>
          <w:shd w:val="clear" w:fill="FFFFFF"/>
          <w:lang w:val="en-US" w:eastAsia="zh-CN"/>
        </w:rPr>
        <w:t>228.7万元，数量为10058件</w:t>
      </w:r>
      <w:r>
        <w:rPr>
          <w:rFonts w:hint="eastAsia" w:ascii="仿宋_GB2312" w:hAnsi="仿宋_GB2312" w:eastAsia="仿宋_GB2312" w:cs="仿宋_GB2312"/>
          <w:i w:val="0"/>
          <w:caps w:val="0"/>
          <w:color w:val="auto"/>
          <w:spacing w:val="0"/>
          <w:sz w:val="32"/>
          <w:szCs w:val="32"/>
          <w:shd w:val="clear" w:fill="FFFFFF"/>
          <w:lang w:eastAsia="zh-CN"/>
        </w:rPr>
        <w:t>。其中</w:t>
      </w:r>
      <w:r>
        <w:rPr>
          <w:rFonts w:hint="eastAsia" w:ascii="仿宋_GB2312" w:hAnsi="仿宋_GB2312" w:eastAsia="仿宋_GB2312" w:cs="仿宋_GB2312"/>
          <w:i w:val="0"/>
          <w:caps w:val="0"/>
          <w:color w:val="auto"/>
          <w:spacing w:val="0"/>
          <w:sz w:val="32"/>
          <w:szCs w:val="32"/>
          <w:shd w:val="clear" w:fill="FFFFFF"/>
        </w:rPr>
        <w:t>货物类</w:t>
      </w:r>
      <w:r>
        <w:rPr>
          <w:rFonts w:hint="eastAsia" w:ascii="仿宋_GB2312" w:hAnsi="仿宋_GB2312" w:eastAsia="仿宋_GB2312" w:cs="仿宋_GB2312"/>
          <w:i w:val="0"/>
          <w:caps w:val="0"/>
          <w:color w:val="auto"/>
          <w:spacing w:val="0"/>
          <w:sz w:val="32"/>
          <w:szCs w:val="32"/>
          <w:shd w:val="clear" w:fill="FFFFFF"/>
          <w:lang w:val="en-US" w:eastAsia="zh-CN"/>
        </w:rPr>
        <w:t>55.2</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eastAsia="仿宋_GB2312" w:cs="仿宋_GB2312"/>
          <w:i w:val="0"/>
          <w:caps w:val="0"/>
          <w:color w:val="auto"/>
          <w:spacing w:val="0"/>
          <w:sz w:val="32"/>
          <w:szCs w:val="32"/>
          <w:shd w:val="clear" w:fill="FFFFFF"/>
          <w:lang w:eastAsia="zh-CN"/>
        </w:rPr>
        <w:t>，数量为</w:t>
      </w:r>
      <w:r>
        <w:rPr>
          <w:rFonts w:hint="eastAsia" w:ascii="仿宋_GB2312" w:hAnsi="仿宋_GB2312" w:eastAsia="仿宋_GB2312" w:cs="仿宋_GB2312"/>
          <w:i w:val="0"/>
          <w:caps w:val="0"/>
          <w:color w:val="auto"/>
          <w:spacing w:val="0"/>
          <w:sz w:val="32"/>
          <w:szCs w:val="32"/>
          <w:shd w:val="clear" w:fill="FFFFFF"/>
          <w:lang w:val="en-US" w:eastAsia="zh-CN"/>
        </w:rPr>
        <w:t>19件；</w:t>
      </w:r>
      <w:r>
        <w:rPr>
          <w:rFonts w:hint="eastAsia" w:ascii="仿宋_GB2312" w:hAnsi="仿宋_GB2312" w:eastAsia="仿宋_GB2312" w:cs="仿宋_GB2312"/>
          <w:i w:val="0"/>
          <w:caps w:val="0"/>
          <w:color w:val="auto"/>
          <w:spacing w:val="0"/>
          <w:sz w:val="32"/>
          <w:szCs w:val="32"/>
          <w:shd w:val="clear" w:fill="FFFFFF"/>
        </w:rPr>
        <w:t>服务类</w:t>
      </w:r>
      <w:r>
        <w:rPr>
          <w:rFonts w:hint="eastAsia" w:ascii="仿宋_GB2312" w:hAnsi="仿宋_GB2312" w:eastAsia="仿宋_GB2312" w:cs="仿宋_GB2312"/>
          <w:i w:val="0"/>
          <w:caps w:val="0"/>
          <w:color w:val="auto"/>
          <w:spacing w:val="0"/>
          <w:sz w:val="32"/>
          <w:szCs w:val="32"/>
          <w:shd w:val="clear" w:fill="FFFFFF"/>
          <w:lang w:val="en-US" w:eastAsia="zh-CN"/>
        </w:rPr>
        <w:t>173.5</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eastAsia="仿宋_GB2312" w:cs="仿宋_GB2312"/>
          <w:i w:val="0"/>
          <w:caps w:val="0"/>
          <w:color w:val="auto"/>
          <w:spacing w:val="0"/>
          <w:sz w:val="32"/>
          <w:szCs w:val="32"/>
          <w:shd w:val="clear" w:fill="FFFFFF"/>
          <w:lang w:eastAsia="zh-CN"/>
        </w:rPr>
        <w:t>，数量为</w:t>
      </w:r>
      <w:r>
        <w:rPr>
          <w:rFonts w:hint="eastAsia" w:ascii="仿宋_GB2312" w:hAnsi="仿宋_GB2312" w:eastAsia="仿宋_GB2312" w:cs="仿宋_GB2312"/>
          <w:i w:val="0"/>
          <w:caps w:val="0"/>
          <w:color w:val="auto"/>
          <w:spacing w:val="0"/>
          <w:sz w:val="32"/>
          <w:szCs w:val="32"/>
          <w:shd w:val="clear" w:fill="FFFFFF"/>
          <w:lang w:val="en-US" w:eastAsia="zh-CN"/>
        </w:rPr>
        <w:t>10039件</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val="en-US" w:eastAsia="zh-CN"/>
        </w:rPr>
        <w:t>2023年政府采购预算</w:t>
      </w:r>
      <w:r>
        <w:rPr>
          <w:rFonts w:hint="eastAsia" w:ascii="仿宋_GB2312" w:hAnsi="仿宋_GB2312" w:eastAsia="仿宋_GB2312" w:cs="仿宋_GB2312"/>
          <w:i w:val="0"/>
          <w:caps w:val="0"/>
          <w:color w:val="auto"/>
          <w:spacing w:val="0"/>
          <w:sz w:val="32"/>
          <w:szCs w:val="32"/>
          <w:shd w:val="clear" w:fill="FFFFFF"/>
        </w:rPr>
        <w:t>较20</w:t>
      </w:r>
      <w:r>
        <w:rPr>
          <w:rFonts w:hint="eastAsia" w:ascii="仿宋_GB2312" w:hAnsi="仿宋_GB2312" w:eastAsia="仿宋_GB2312" w:cs="仿宋_GB2312"/>
          <w:i w:val="0"/>
          <w:caps w:val="0"/>
          <w:color w:val="auto"/>
          <w:spacing w:val="0"/>
          <w:sz w:val="32"/>
          <w:szCs w:val="32"/>
          <w:shd w:val="clear" w:fill="FFFFFF"/>
          <w:lang w:val="en-US" w:eastAsia="zh-CN"/>
        </w:rPr>
        <w:t>22</w:t>
      </w:r>
      <w:r>
        <w:rPr>
          <w:rFonts w:hint="eastAsia" w:ascii="仿宋_GB2312" w:hAnsi="仿宋_GB2312" w:eastAsia="仿宋_GB2312" w:cs="仿宋_GB2312"/>
          <w:i w:val="0"/>
          <w:caps w:val="0"/>
          <w:color w:val="auto"/>
          <w:spacing w:val="0"/>
          <w:sz w:val="32"/>
          <w:szCs w:val="32"/>
          <w:shd w:val="clear" w:fill="FFFFFF"/>
        </w:rPr>
        <w:t>年</w:t>
      </w:r>
      <w:r>
        <w:rPr>
          <w:rFonts w:hint="eastAsia" w:ascii="仿宋_GB2312" w:hAnsi="仿宋_GB2312" w:eastAsia="仿宋_GB2312" w:cs="仿宋_GB2312"/>
          <w:i w:val="0"/>
          <w:caps w:val="0"/>
          <w:color w:val="auto"/>
          <w:spacing w:val="0"/>
          <w:sz w:val="32"/>
          <w:szCs w:val="32"/>
          <w:shd w:val="clear" w:fill="FFFFFF"/>
          <w:lang w:val="en-US" w:eastAsia="zh-CN"/>
        </w:rPr>
        <w:t>546.11</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eastAsia="仿宋_GB2312" w:cs="仿宋_GB2312"/>
          <w:i w:val="0"/>
          <w:caps w:val="0"/>
          <w:color w:val="auto"/>
          <w:spacing w:val="0"/>
          <w:sz w:val="32"/>
          <w:szCs w:val="32"/>
          <w:shd w:val="clear" w:fill="FFFFFF"/>
          <w:lang w:eastAsia="zh-CN"/>
        </w:rPr>
        <w:t>减少</w:t>
      </w:r>
      <w:r>
        <w:rPr>
          <w:rFonts w:hint="eastAsia" w:ascii="仿宋_GB2312" w:hAnsi="仿宋_GB2312" w:eastAsia="仿宋_GB2312" w:cs="仿宋_GB2312"/>
          <w:i w:val="0"/>
          <w:caps w:val="0"/>
          <w:color w:val="auto"/>
          <w:spacing w:val="0"/>
          <w:sz w:val="32"/>
          <w:szCs w:val="32"/>
          <w:shd w:val="clear" w:fill="FFFFFF"/>
          <w:lang w:val="en-US" w:eastAsia="zh-CN"/>
        </w:rPr>
        <w:t>317.41</w:t>
      </w:r>
      <w:r>
        <w:rPr>
          <w:rFonts w:hint="eastAsia" w:ascii="仿宋_GB2312" w:hAnsi="仿宋_GB2312" w:eastAsia="仿宋_GB2312" w:cs="仿宋_GB2312"/>
          <w:i w:val="0"/>
          <w:caps w:val="0"/>
          <w:color w:val="auto"/>
          <w:spacing w:val="0"/>
          <w:sz w:val="32"/>
          <w:szCs w:val="32"/>
          <w:shd w:val="clear" w:fill="FFFFFF"/>
        </w:rPr>
        <w:t>万元，</w:t>
      </w:r>
      <w:r>
        <w:rPr>
          <w:rFonts w:hint="eastAsia" w:ascii="仿宋_GB2312" w:hAnsi="仿宋_GB2312" w:eastAsia="仿宋_GB2312" w:cs="仿宋_GB2312"/>
          <w:i w:val="0"/>
          <w:caps w:val="0"/>
          <w:color w:val="auto"/>
          <w:spacing w:val="0"/>
          <w:sz w:val="32"/>
          <w:szCs w:val="32"/>
          <w:shd w:val="clear" w:fill="FFFFFF"/>
          <w:lang w:eastAsia="zh-CN"/>
        </w:rPr>
        <w:t>降低</w:t>
      </w:r>
      <w:r>
        <w:rPr>
          <w:rFonts w:hint="eastAsia" w:ascii="仿宋_GB2312" w:hAnsi="仿宋_GB2312" w:eastAsia="仿宋_GB2312" w:cs="仿宋_GB2312"/>
          <w:i w:val="0"/>
          <w:caps w:val="0"/>
          <w:color w:val="auto"/>
          <w:spacing w:val="0"/>
          <w:sz w:val="32"/>
          <w:szCs w:val="32"/>
          <w:shd w:val="clear" w:fill="FFFFFF"/>
          <w:lang w:val="en-US" w:eastAsia="zh-CN"/>
        </w:rPr>
        <w:t>58.12%；</w:t>
      </w:r>
      <w:r>
        <w:rPr>
          <w:rFonts w:hint="eastAsia" w:ascii="仿宋_GB2312" w:hAnsi="仿宋_GB2312" w:eastAsia="仿宋_GB2312" w:cs="仿宋_GB2312"/>
          <w:i w:val="0"/>
          <w:caps w:val="0"/>
          <w:color w:val="auto"/>
          <w:spacing w:val="0"/>
          <w:sz w:val="32"/>
          <w:szCs w:val="32"/>
          <w:shd w:val="clear" w:fill="FFFFFF"/>
        </w:rPr>
        <w:t>主要是由于202</w:t>
      </w: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年</w:t>
      </w:r>
      <w:r>
        <w:rPr>
          <w:rFonts w:hint="eastAsia" w:ascii="仿宋_GB2312" w:hAnsi="仿宋_GB2312" w:eastAsia="仿宋_GB2312" w:cs="仿宋_GB2312"/>
          <w:i w:val="0"/>
          <w:caps w:val="0"/>
          <w:color w:val="auto"/>
          <w:spacing w:val="0"/>
          <w:sz w:val="32"/>
          <w:szCs w:val="32"/>
          <w:shd w:val="clear" w:fill="FFFFFF"/>
          <w:lang w:eastAsia="zh-CN"/>
        </w:rPr>
        <w:t>项目数量及金额减少，对应所需政府采购部分也对应减少。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shd w:val="clear" w:fill="FFFFFF"/>
          <w:lang w:eastAsia="zh-CN"/>
        </w:rPr>
        <w:t>三</w:t>
      </w:r>
      <w:r>
        <w:rPr>
          <w:rFonts w:hint="eastAsia" w:ascii="黑体" w:hAnsi="黑体" w:eastAsia="黑体" w:cs="黑体"/>
          <w:i w:val="0"/>
          <w:caps w:val="0"/>
          <w:color w:val="auto"/>
          <w:spacing w:val="0"/>
          <w:sz w:val="32"/>
          <w:szCs w:val="32"/>
          <w:shd w:val="clear" w:fill="FFFFFF"/>
        </w:rPr>
        <w:t>、国有资产占有使用情况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i w:val="0"/>
          <w:caps w:val="0"/>
          <w:color w:val="FF0000"/>
          <w:spacing w:val="0"/>
          <w:sz w:val="32"/>
          <w:szCs w:val="32"/>
          <w:lang w:val="en-US" w:eastAsia="zh-CN"/>
        </w:rPr>
      </w:pPr>
      <w:r>
        <w:rPr>
          <w:rFonts w:hint="eastAsia" w:ascii="仿宋_GB2312" w:hAnsi="仿宋_GB2312" w:eastAsia="仿宋_GB2312" w:cs="仿宋_GB2312"/>
          <w:i w:val="0"/>
          <w:caps w:val="0"/>
          <w:color w:val="auto"/>
          <w:spacing w:val="0"/>
          <w:sz w:val="32"/>
          <w:szCs w:val="32"/>
          <w:shd w:val="clear" w:fill="FFFFFF"/>
        </w:rPr>
        <w:t>202</w:t>
      </w: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年市</w:t>
      </w:r>
      <w:r>
        <w:rPr>
          <w:rFonts w:hint="eastAsia" w:ascii="仿宋_GB2312" w:hAnsi="仿宋_GB2312" w:eastAsia="仿宋_GB2312" w:cs="仿宋_GB2312"/>
          <w:i w:val="0"/>
          <w:caps w:val="0"/>
          <w:color w:val="auto"/>
          <w:spacing w:val="0"/>
          <w:sz w:val="32"/>
          <w:szCs w:val="32"/>
          <w:shd w:val="clear" w:fill="FFFFFF"/>
          <w:lang w:eastAsia="zh-CN"/>
        </w:rPr>
        <w:t>政府</w:t>
      </w:r>
      <w:r>
        <w:rPr>
          <w:rFonts w:hint="eastAsia" w:ascii="仿宋_GB2312" w:hAnsi="仿宋_GB2312" w:eastAsia="仿宋_GB2312" w:cs="仿宋_GB2312"/>
          <w:i w:val="0"/>
          <w:caps w:val="0"/>
          <w:color w:val="auto"/>
          <w:spacing w:val="0"/>
          <w:sz w:val="32"/>
          <w:szCs w:val="32"/>
          <w:shd w:val="clear" w:fill="FFFFFF"/>
        </w:rPr>
        <w:t>国资委机关共有车辆</w:t>
      </w:r>
      <w:r>
        <w:rPr>
          <w:rFonts w:hint="eastAsia" w:ascii="仿宋_GB2312" w:hAnsi="仿宋_GB2312" w:eastAsia="仿宋_GB2312" w:cs="仿宋_GB2312"/>
          <w:i w:val="0"/>
          <w:caps w:val="0"/>
          <w:color w:val="auto"/>
          <w:spacing w:val="0"/>
          <w:sz w:val="32"/>
          <w:szCs w:val="32"/>
          <w:shd w:val="clear" w:fill="FFFFFF"/>
          <w:lang w:val="en-US" w:eastAsia="zh-CN"/>
        </w:rPr>
        <w:t>1</w:t>
      </w:r>
      <w:r>
        <w:rPr>
          <w:rFonts w:hint="eastAsia" w:ascii="仿宋_GB2312" w:hAnsi="仿宋_GB2312" w:eastAsia="仿宋_GB2312" w:cs="仿宋_GB2312"/>
          <w:i w:val="0"/>
          <w:caps w:val="0"/>
          <w:color w:val="auto"/>
          <w:spacing w:val="0"/>
          <w:sz w:val="32"/>
          <w:szCs w:val="32"/>
          <w:shd w:val="clear" w:fill="FFFFFF"/>
        </w:rPr>
        <w:t>辆，为应急保障用车；单位价值 50万元以上通用设备0台（套）；单位价值100万元以上专用设备0台（套）。</w:t>
      </w:r>
      <w:r>
        <w:rPr>
          <w:rFonts w:hint="eastAsia" w:ascii="仿宋_GB2312" w:hAnsi="仿宋_GB2312" w:eastAsia="仿宋_GB2312" w:cs="仿宋_GB2312"/>
          <w:i w:val="0"/>
          <w:caps w:val="0"/>
          <w:color w:val="auto"/>
          <w:spacing w:val="0"/>
          <w:sz w:val="32"/>
          <w:szCs w:val="32"/>
          <w:shd w:val="clear" w:fill="FFFFFF"/>
          <w:lang w:eastAsia="zh-CN"/>
        </w:rPr>
        <w:t>与</w:t>
      </w:r>
      <w:r>
        <w:rPr>
          <w:rFonts w:hint="eastAsia" w:ascii="仿宋_GB2312" w:hAnsi="仿宋_GB2312" w:eastAsia="仿宋_GB2312" w:cs="仿宋_GB2312"/>
          <w:i w:val="0"/>
          <w:caps w:val="0"/>
          <w:color w:val="auto"/>
          <w:spacing w:val="0"/>
          <w:sz w:val="32"/>
          <w:szCs w:val="32"/>
          <w:shd w:val="clear" w:fill="FFFFFF"/>
          <w:lang w:val="en-US" w:eastAsia="zh-CN"/>
        </w:rPr>
        <w:t>2022年相比减少1台公务用车，是由于旧公务用车出售，已办理相关资产下账手续。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shd w:val="clear" w:fill="FFFFFF"/>
          <w:lang w:eastAsia="zh-CN"/>
        </w:rPr>
        <w:t>四</w:t>
      </w:r>
      <w:r>
        <w:rPr>
          <w:rFonts w:hint="eastAsia" w:ascii="黑体" w:hAnsi="黑体" w:eastAsia="黑体" w:cs="黑体"/>
          <w:i w:val="0"/>
          <w:caps w:val="0"/>
          <w:color w:val="auto"/>
          <w:spacing w:val="0"/>
          <w:sz w:val="32"/>
          <w:szCs w:val="32"/>
          <w:shd w:val="clear" w:fill="FFFFFF"/>
        </w:rPr>
        <w:t>、关于202</w:t>
      </w:r>
      <w:r>
        <w:rPr>
          <w:rFonts w:hint="eastAsia" w:ascii="黑体" w:hAnsi="黑体" w:eastAsia="黑体" w:cs="黑体"/>
          <w:i w:val="0"/>
          <w:caps w:val="0"/>
          <w:color w:val="auto"/>
          <w:spacing w:val="0"/>
          <w:sz w:val="32"/>
          <w:szCs w:val="32"/>
          <w:shd w:val="clear" w:fill="FFFFFF"/>
          <w:lang w:val="en-US" w:eastAsia="zh-CN"/>
        </w:rPr>
        <w:t>3</w:t>
      </w:r>
      <w:r>
        <w:rPr>
          <w:rFonts w:hint="eastAsia" w:ascii="黑体" w:hAnsi="黑体" w:eastAsia="黑体" w:cs="黑体"/>
          <w:i w:val="0"/>
          <w:caps w:val="0"/>
          <w:color w:val="auto"/>
          <w:spacing w:val="0"/>
          <w:sz w:val="32"/>
          <w:szCs w:val="32"/>
          <w:shd w:val="clear" w:fill="FFFFFF"/>
        </w:rPr>
        <w:t>年度预算绩效情况的说明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1.预算绩效管理工作开展情况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根据预算绩效管理的要求，我委认真开展部门整体支出绩效目标</w:t>
      </w:r>
      <w:r>
        <w:rPr>
          <w:rFonts w:hint="eastAsia" w:ascii="仿宋_GB2312" w:hAnsi="仿宋_GB2312" w:eastAsia="仿宋_GB2312" w:cs="仿宋_GB2312"/>
          <w:i w:val="0"/>
          <w:caps w:val="0"/>
          <w:color w:val="auto"/>
          <w:spacing w:val="0"/>
          <w:sz w:val="32"/>
          <w:szCs w:val="32"/>
          <w:shd w:val="clear" w:fill="FFFFFF"/>
          <w:lang w:eastAsia="zh-CN"/>
        </w:rPr>
        <w:t>及</w:t>
      </w:r>
      <w:r>
        <w:rPr>
          <w:rFonts w:hint="eastAsia" w:ascii="仿宋_GB2312" w:hAnsi="仿宋_GB2312" w:eastAsia="仿宋_GB2312" w:cs="仿宋_GB2312"/>
          <w:i w:val="0"/>
          <w:caps w:val="0"/>
          <w:color w:val="auto"/>
          <w:spacing w:val="0"/>
          <w:sz w:val="32"/>
          <w:szCs w:val="32"/>
          <w:shd w:val="clear" w:fill="FFFFFF"/>
        </w:rPr>
        <w:t>项目支出绩效目标的编制工作。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2023年我委项目支出217万元，各项目均按照预算绩效管理工作的要求开展绩效目标编制及评审、绩效监控、绩效评价等工作，并关注项目目标与预算内容、工作计划的一致性，形成了科学合理、规范完整且可量化、可评价的指标体系。</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i w:val="0"/>
          <w:caps w:val="0"/>
          <w:color w:val="auto"/>
          <w:spacing w:val="0"/>
          <w:sz w:val="32"/>
          <w:szCs w:val="32"/>
          <w:shd w:val="clear" w:fill="FFFFFF"/>
          <w:lang w:val="en-US" w:eastAsia="zh-CN"/>
        </w:rPr>
      </w:pPr>
      <w:r>
        <w:rPr>
          <w:rFonts w:hint="eastAsia" w:ascii="仿宋_GB2312" w:hAnsi="仿宋_GB2312" w:cs="仿宋_GB2312"/>
          <w:i w:val="0"/>
          <w:caps w:val="0"/>
          <w:color w:val="auto"/>
          <w:spacing w:val="0"/>
          <w:sz w:val="32"/>
          <w:szCs w:val="32"/>
          <w:shd w:val="clear" w:fill="FFFFFF"/>
          <w:lang w:val="en-US" w:eastAsia="zh-CN"/>
        </w:rPr>
        <w:t>2.重点项目绩效目标说明（涉密项目除外）</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i w:val="0"/>
          <w:caps w:val="0"/>
          <w:color w:val="auto"/>
          <w:spacing w:val="0"/>
          <w:sz w:val="32"/>
          <w:szCs w:val="32"/>
          <w:shd w:val="clear" w:fill="FFFFFF"/>
          <w:lang w:val="en-US" w:eastAsia="zh-CN"/>
        </w:rPr>
      </w:pPr>
      <w:r>
        <w:rPr>
          <w:rFonts w:hint="eastAsia" w:ascii="仿宋_GB2312" w:hAnsi="仿宋_GB2312" w:cs="仿宋_GB2312"/>
          <w:i w:val="0"/>
          <w:caps w:val="0"/>
          <w:color w:val="auto"/>
          <w:spacing w:val="0"/>
          <w:sz w:val="32"/>
          <w:szCs w:val="32"/>
          <w:shd w:val="clear" w:fill="FFFFFF"/>
          <w:lang w:val="en-US" w:eastAsia="zh-CN"/>
        </w:rPr>
        <w:t>国资国企监督管理项目</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i w:val="0"/>
          <w:caps w:val="0"/>
          <w:color w:val="auto"/>
          <w:spacing w:val="0"/>
          <w:sz w:val="32"/>
          <w:szCs w:val="32"/>
          <w:shd w:val="clear" w:fill="FFFFFF"/>
          <w:lang w:val="en-US" w:eastAsia="zh-CN"/>
        </w:rPr>
      </w:pPr>
      <w:r>
        <w:rPr>
          <w:rFonts w:hint="eastAsia" w:ascii="仿宋_GB2312" w:hAnsi="仿宋_GB2312" w:cs="仿宋_GB2312"/>
          <w:i w:val="0"/>
          <w:caps w:val="0"/>
          <w:color w:val="auto"/>
          <w:spacing w:val="0"/>
          <w:sz w:val="32"/>
          <w:szCs w:val="32"/>
          <w:shd w:val="clear" w:fill="FFFFFF"/>
          <w:lang w:val="en-US" w:eastAsia="zh-CN"/>
        </w:rPr>
        <w:t>2023年国资国企监督管理项目预算57万元，资金来源全部为市级公共预算财政拨款。</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b/>
          <w:bCs/>
          <w:i w:val="0"/>
          <w:caps w:val="0"/>
          <w:color w:val="auto"/>
          <w:spacing w:val="0"/>
          <w:sz w:val="32"/>
          <w:szCs w:val="32"/>
          <w:shd w:val="clear" w:fill="FFFFFF"/>
          <w:lang w:val="en-US" w:eastAsia="zh-CN"/>
        </w:rPr>
      </w:pPr>
      <w:r>
        <w:rPr>
          <w:rFonts w:hint="eastAsia" w:ascii="仿宋_GB2312" w:hAnsi="仿宋_GB2312" w:cs="仿宋_GB2312"/>
          <w:b/>
          <w:bCs/>
          <w:i w:val="0"/>
          <w:caps w:val="0"/>
          <w:color w:val="auto"/>
          <w:spacing w:val="0"/>
          <w:sz w:val="32"/>
          <w:szCs w:val="32"/>
          <w:shd w:val="clear" w:fill="FFFFFF"/>
          <w:lang w:val="en-US" w:eastAsia="zh-CN"/>
        </w:rPr>
        <w:t>产出指标情况分析</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i w:val="0"/>
          <w:caps w:val="0"/>
          <w:color w:val="auto"/>
          <w:spacing w:val="0"/>
          <w:sz w:val="32"/>
          <w:szCs w:val="32"/>
          <w:shd w:val="clear" w:fill="FFFFFF"/>
          <w:lang w:val="en-US" w:eastAsia="zh-CN"/>
        </w:rPr>
      </w:pPr>
      <w:r>
        <w:rPr>
          <w:rFonts w:hint="eastAsia" w:ascii="仿宋_GB2312" w:hAnsi="仿宋_GB2312" w:cs="仿宋_GB2312"/>
          <w:i w:val="0"/>
          <w:caps w:val="0"/>
          <w:color w:val="auto"/>
          <w:spacing w:val="0"/>
          <w:sz w:val="32"/>
          <w:szCs w:val="32"/>
          <w:shd w:val="clear" w:fill="FFFFFF"/>
          <w:lang w:val="en-US" w:eastAsia="zh-CN"/>
        </w:rPr>
        <w:t>数量指标：</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i w:val="0"/>
          <w:caps w:val="0"/>
          <w:color w:val="auto"/>
          <w:spacing w:val="0"/>
          <w:sz w:val="32"/>
          <w:szCs w:val="32"/>
          <w:shd w:val="clear" w:fill="FFFFFF"/>
          <w:lang w:val="en-US" w:eastAsia="zh-CN"/>
        </w:rPr>
      </w:pPr>
      <w:r>
        <w:rPr>
          <w:rFonts w:hint="eastAsia" w:ascii="仿宋_GB2312" w:hAnsi="仿宋_GB2312" w:cs="仿宋_GB2312"/>
          <w:i w:val="0"/>
          <w:caps w:val="0"/>
          <w:color w:val="auto"/>
          <w:spacing w:val="0"/>
          <w:sz w:val="32"/>
          <w:szCs w:val="32"/>
          <w:shd w:val="clear" w:fill="FFFFFF"/>
          <w:lang w:val="en-US" w:eastAsia="zh-CN"/>
        </w:rPr>
        <w:t>业务体系 ＝ 3个</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i w:val="0"/>
          <w:caps w:val="0"/>
          <w:color w:val="auto"/>
          <w:spacing w:val="0"/>
          <w:sz w:val="32"/>
          <w:szCs w:val="32"/>
          <w:shd w:val="clear" w:fill="FFFFFF"/>
          <w:lang w:val="en-US" w:eastAsia="zh-CN"/>
        </w:rPr>
      </w:pPr>
      <w:r>
        <w:rPr>
          <w:rFonts w:hint="default" w:ascii="仿宋_GB2312" w:hAnsi="仿宋_GB2312" w:cs="仿宋_GB2312"/>
          <w:i w:val="0"/>
          <w:caps w:val="0"/>
          <w:color w:val="auto"/>
          <w:spacing w:val="0"/>
          <w:sz w:val="32"/>
          <w:szCs w:val="32"/>
          <w:shd w:val="clear" w:fill="FFFFFF"/>
          <w:lang w:val="en-US" w:eastAsia="zh-CN"/>
        </w:rPr>
        <w:t>视频会议中心</w:t>
      </w:r>
      <w:r>
        <w:rPr>
          <w:rFonts w:hint="eastAsia" w:ascii="仿宋_GB2312" w:hAnsi="仿宋_GB2312" w:cs="仿宋_GB2312"/>
          <w:i w:val="0"/>
          <w:caps w:val="0"/>
          <w:color w:val="auto"/>
          <w:spacing w:val="0"/>
          <w:sz w:val="32"/>
          <w:szCs w:val="32"/>
          <w:shd w:val="clear" w:fill="FFFFFF"/>
          <w:lang w:val="en-US" w:eastAsia="zh-CN"/>
        </w:rPr>
        <w:t xml:space="preserve"> ＝ 1个</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i w:val="0"/>
          <w:caps w:val="0"/>
          <w:color w:val="auto"/>
          <w:spacing w:val="0"/>
          <w:sz w:val="32"/>
          <w:szCs w:val="32"/>
          <w:shd w:val="clear" w:fill="FFFFFF"/>
          <w:lang w:val="en-US" w:eastAsia="zh-CN"/>
        </w:rPr>
      </w:pPr>
      <w:r>
        <w:rPr>
          <w:rFonts w:hint="eastAsia" w:ascii="仿宋_GB2312" w:hAnsi="仿宋_GB2312" w:cs="仿宋_GB2312"/>
          <w:i w:val="0"/>
          <w:caps w:val="0"/>
          <w:color w:val="auto"/>
          <w:spacing w:val="0"/>
          <w:sz w:val="32"/>
          <w:szCs w:val="32"/>
          <w:shd w:val="clear" w:fill="FFFFFF"/>
          <w:lang w:val="en-US" w:eastAsia="zh-CN"/>
        </w:rPr>
        <w:t>举办培训班次 ≥ 1次</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i w:val="0"/>
          <w:caps w:val="0"/>
          <w:color w:val="auto"/>
          <w:spacing w:val="0"/>
          <w:sz w:val="32"/>
          <w:szCs w:val="32"/>
          <w:shd w:val="clear" w:fill="FFFFFF"/>
          <w:lang w:val="en-US" w:eastAsia="zh-CN"/>
        </w:rPr>
      </w:pPr>
      <w:r>
        <w:rPr>
          <w:rFonts w:hint="default" w:ascii="仿宋_GB2312" w:hAnsi="仿宋_GB2312" w:cs="仿宋_GB2312"/>
          <w:i w:val="0"/>
          <w:caps w:val="0"/>
          <w:color w:val="auto"/>
          <w:spacing w:val="0"/>
          <w:sz w:val="32"/>
          <w:szCs w:val="32"/>
          <w:shd w:val="clear" w:fill="FFFFFF"/>
          <w:lang w:val="en-US" w:eastAsia="zh-CN"/>
        </w:rPr>
        <w:t>培训学员人数</w:t>
      </w:r>
      <w:r>
        <w:rPr>
          <w:rFonts w:hint="eastAsia" w:ascii="仿宋_GB2312" w:hAnsi="仿宋_GB2312" w:cs="仿宋_GB2312"/>
          <w:i w:val="0"/>
          <w:caps w:val="0"/>
          <w:color w:val="auto"/>
          <w:spacing w:val="0"/>
          <w:sz w:val="32"/>
          <w:szCs w:val="32"/>
          <w:shd w:val="clear" w:fill="FFFFFF"/>
          <w:lang w:val="en-US" w:eastAsia="zh-CN"/>
        </w:rPr>
        <w:t xml:space="preserve"> ≥ 40人</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cs="仿宋_GB2312"/>
          <w:i w:val="0"/>
          <w:caps w:val="0"/>
          <w:color w:val="auto"/>
          <w:spacing w:val="0"/>
          <w:sz w:val="32"/>
          <w:szCs w:val="32"/>
          <w:shd w:val="clear" w:fill="FFFFFF"/>
          <w:lang w:val="en-US" w:eastAsia="zh-CN"/>
        </w:rPr>
      </w:pPr>
      <w:r>
        <w:rPr>
          <w:rFonts w:hint="eastAsia" w:ascii="仿宋_GB2312" w:hAnsi="仿宋_GB2312" w:cs="仿宋_GB2312"/>
          <w:i w:val="0"/>
          <w:caps w:val="0"/>
          <w:color w:val="auto"/>
          <w:spacing w:val="0"/>
          <w:sz w:val="32"/>
          <w:szCs w:val="32"/>
          <w:shd w:val="clear" w:fill="FFFFFF"/>
          <w:lang w:val="en-US" w:eastAsia="zh-CN"/>
        </w:rPr>
        <w:t>质量指标：</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i w:val="0"/>
          <w:caps w:val="0"/>
          <w:color w:val="auto"/>
          <w:spacing w:val="0"/>
          <w:sz w:val="32"/>
          <w:szCs w:val="32"/>
          <w:shd w:val="clear" w:fill="FFFFFF"/>
          <w:lang w:val="en-US" w:eastAsia="zh-CN"/>
        </w:rPr>
      </w:pPr>
      <w:r>
        <w:rPr>
          <w:rFonts w:hint="default" w:ascii="仿宋_GB2312" w:hAnsi="仿宋_GB2312" w:cs="仿宋_GB2312"/>
          <w:i w:val="0"/>
          <w:caps w:val="0"/>
          <w:color w:val="auto"/>
          <w:spacing w:val="0"/>
          <w:sz w:val="32"/>
          <w:szCs w:val="32"/>
          <w:shd w:val="clear" w:fill="FFFFFF"/>
          <w:lang w:val="en-US" w:eastAsia="zh-CN"/>
        </w:rPr>
        <w:t>培训合格率</w:t>
      </w:r>
      <w:r>
        <w:rPr>
          <w:rFonts w:hint="eastAsia" w:ascii="仿宋_GB2312" w:hAnsi="仿宋_GB2312" w:cs="仿宋_GB2312"/>
          <w:i w:val="0"/>
          <w:caps w:val="0"/>
          <w:color w:val="auto"/>
          <w:spacing w:val="0"/>
          <w:sz w:val="32"/>
          <w:szCs w:val="32"/>
          <w:shd w:val="clear" w:fill="FFFFFF"/>
          <w:lang w:val="en-US" w:eastAsia="zh-CN"/>
        </w:rPr>
        <w:t xml:space="preserve"> ＝ 100%</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i w:val="0"/>
          <w:caps w:val="0"/>
          <w:color w:val="auto"/>
          <w:spacing w:val="0"/>
          <w:sz w:val="32"/>
          <w:szCs w:val="32"/>
          <w:shd w:val="clear" w:fill="FFFFFF"/>
          <w:lang w:val="en-US" w:eastAsia="zh-CN"/>
        </w:rPr>
      </w:pPr>
      <w:r>
        <w:rPr>
          <w:rFonts w:hint="eastAsia" w:ascii="仿宋_GB2312" w:hAnsi="仿宋_GB2312" w:cs="仿宋_GB2312"/>
          <w:i w:val="0"/>
          <w:caps w:val="0"/>
          <w:color w:val="auto"/>
          <w:spacing w:val="0"/>
          <w:sz w:val="32"/>
          <w:szCs w:val="32"/>
          <w:shd w:val="clear" w:fill="FFFFFF"/>
          <w:lang w:val="en-US" w:eastAsia="zh-CN"/>
        </w:rPr>
        <w:t>成本指标：</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cs="仿宋_GB2312"/>
          <w:i w:val="0"/>
          <w:caps w:val="0"/>
          <w:color w:val="auto"/>
          <w:spacing w:val="0"/>
          <w:sz w:val="32"/>
          <w:szCs w:val="32"/>
          <w:shd w:val="clear" w:fill="FFFFFF"/>
          <w:lang w:val="en-US" w:eastAsia="zh-CN"/>
        </w:rPr>
      </w:pPr>
      <w:r>
        <w:rPr>
          <w:rFonts w:hint="default" w:ascii="仿宋_GB2312" w:hAnsi="仿宋_GB2312" w:cs="仿宋_GB2312"/>
          <w:i w:val="0"/>
          <w:caps w:val="0"/>
          <w:color w:val="auto"/>
          <w:spacing w:val="0"/>
          <w:sz w:val="32"/>
          <w:szCs w:val="32"/>
          <w:shd w:val="clear" w:fill="FFFFFF"/>
          <w:lang w:val="en-US" w:eastAsia="zh-CN"/>
        </w:rPr>
        <w:t>信息系统建成</w:t>
      </w:r>
      <w:r>
        <w:rPr>
          <w:rFonts w:hint="eastAsia" w:ascii="仿宋_GB2312" w:hAnsi="仿宋_GB2312" w:cs="仿宋_GB2312"/>
          <w:i w:val="0"/>
          <w:caps w:val="0"/>
          <w:color w:val="auto"/>
          <w:spacing w:val="0"/>
          <w:sz w:val="32"/>
          <w:szCs w:val="32"/>
          <w:shd w:val="clear" w:fill="FFFFFF"/>
          <w:lang w:val="en-US" w:eastAsia="zh-CN"/>
        </w:rPr>
        <w:t xml:space="preserve"> </w:t>
      </w:r>
      <w:r>
        <w:rPr>
          <w:rFonts w:hint="default" w:ascii="仿宋_GB2312" w:hAnsi="仿宋_GB2312" w:cs="仿宋_GB2312"/>
          <w:i w:val="0"/>
          <w:caps w:val="0"/>
          <w:color w:val="auto"/>
          <w:spacing w:val="0"/>
          <w:sz w:val="32"/>
          <w:szCs w:val="32"/>
          <w:shd w:val="clear" w:fill="FFFFFF"/>
          <w:lang w:val="en-US" w:eastAsia="zh-CN"/>
        </w:rPr>
        <w:t>≤</w:t>
      </w:r>
      <w:r>
        <w:rPr>
          <w:rFonts w:hint="eastAsia" w:ascii="仿宋_GB2312" w:hAnsi="仿宋_GB2312" w:cs="仿宋_GB2312"/>
          <w:i w:val="0"/>
          <w:caps w:val="0"/>
          <w:color w:val="auto"/>
          <w:spacing w:val="0"/>
          <w:sz w:val="32"/>
          <w:szCs w:val="32"/>
          <w:shd w:val="clear" w:fill="FFFFFF"/>
          <w:lang w:val="en-US" w:eastAsia="zh-CN"/>
        </w:rPr>
        <w:t xml:space="preserve"> </w:t>
      </w:r>
      <w:r>
        <w:rPr>
          <w:rFonts w:hint="default" w:ascii="仿宋_GB2312" w:hAnsi="仿宋_GB2312" w:cs="仿宋_GB2312"/>
          <w:i w:val="0"/>
          <w:caps w:val="0"/>
          <w:color w:val="auto"/>
          <w:spacing w:val="0"/>
          <w:sz w:val="32"/>
          <w:szCs w:val="32"/>
          <w:shd w:val="clear" w:fill="FFFFFF"/>
          <w:lang w:val="en-US" w:eastAsia="zh-CN"/>
        </w:rPr>
        <w:t>100万</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b/>
          <w:bCs/>
          <w:i w:val="0"/>
          <w:caps w:val="0"/>
          <w:color w:val="auto"/>
          <w:spacing w:val="0"/>
          <w:sz w:val="32"/>
          <w:szCs w:val="32"/>
          <w:shd w:val="clear" w:fill="FFFFFF"/>
          <w:lang w:val="en-US" w:eastAsia="zh-CN"/>
        </w:rPr>
      </w:pPr>
      <w:r>
        <w:rPr>
          <w:rFonts w:hint="eastAsia" w:ascii="仿宋_GB2312" w:hAnsi="仿宋_GB2312" w:cs="仿宋_GB2312"/>
          <w:b/>
          <w:bCs/>
          <w:i w:val="0"/>
          <w:caps w:val="0"/>
          <w:color w:val="auto"/>
          <w:spacing w:val="0"/>
          <w:sz w:val="32"/>
          <w:szCs w:val="32"/>
          <w:shd w:val="clear" w:fill="FFFFFF"/>
          <w:lang w:val="en-US" w:eastAsia="zh-CN"/>
        </w:rPr>
        <w:t>效益指标情况分析</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b w:val="0"/>
          <w:bCs w:val="0"/>
          <w:i w:val="0"/>
          <w:caps w:val="0"/>
          <w:color w:val="auto"/>
          <w:spacing w:val="0"/>
          <w:sz w:val="32"/>
          <w:szCs w:val="32"/>
          <w:shd w:val="clear" w:fill="FFFFFF"/>
          <w:lang w:val="en-US" w:eastAsia="zh-CN"/>
        </w:rPr>
      </w:pPr>
      <w:r>
        <w:rPr>
          <w:rFonts w:hint="eastAsia" w:ascii="仿宋_GB2312" w:hAnsi="仿宋_GB2312" w:cs="仿宋_GB2312"/>
          <w:b w:val="0"/>
          <w:bCs w:val="0"/>
          <w:i w:val="0"/>
          <w:caps w:val="0"/>
          <w:color w:val="auto"/>
          <w:spacing w:val="0"/>
          <w:sz w:val="32"/>
          <w:szCs w:val="32"/>
          <w:shd w:val="clear" w:fill="FFFFFF"/>
          <w:lang w:val="en-US" w:eastAsia="zh-CN"/>
        </w:rPr>
        <w:t>经济效益指标：</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b w:val="0"/>
          <w:bCs w:val="0"/>
          <w:i w:val="0"/>
          <w:caps w:val="0"/>
          <w:color w:val="auto"/>
          <w:spacing w:val="0"/>
          <w:sz w:val="32"/>
          <w:szCs w:val="32"/>
          <w:shd w:val="clear" w:fill="FFFFFF"/>
          <w:lang w:val="en-US" w:eastAsia="zh-CN"/>
        </w:rPr>
      </w:pPr>
      <w:r>
        <w:rPr>
          <w:rFonts w:hint="eastAsia" w:ascii="仿宋_GB2312" w:hAnsi="仿宋_GB2312" w:cs="仿宋_GB2312"/>
          <w:b w:val="0"/>
          <w:bCs w:val="0"/>
          <w:i w:val="0"/>
          <w:caps w:val="0"/>
          <w:color w:val="auto"/>
          <w:spacing w:val="0"/>
          <w:sz w:val="32"/>
          <w:szCs w:val="32"/>
          <w:shd w:val="clear" w:fill="FFFFFF"/>
          <w:lang w:val="en-US" w:eastAsia="zh-CN"/>
        </w:rPr>
        <w:t>提高国有企业经济运行质量和效率 定性</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b w:val="0"/>
          <w:bCs w:val="0"/>
          <w:i w:val="0"/>
          <w:caps w:val="0"/>
          <w:color w:val="auto"/>
          <w:spacing w:val="0"/>
          <w:sz w:val="32"/>
          <w:szCs w:val="32"/>
          <w:shd w:val="clear" w:fill="FFFFFF"/>
          <w:lang w:val="en-US" w:eastAsia="zh-CN"/>
        </w:rPr>
      </w:pPr>
      <w:r>
        <w:rPr>
          <w:rFonts w:hint="eastAsia" w:ascii="仿宋_GB2312" w:hAnsi="仿宋_GB2312" w:cs="仿宋_GB2312"/>
          <w:b w:val="0"/>
          <w:bCs w:val="0"/>
          <w:i w:val="0"/>
          <w:caps w:val="0"/>
          <w:color w:val="auto"/>
          <w:spacing w:val="0"/>
          <w:sz w:val="32"/>
          <w:szCs w:val="32"/>
          <w:shd w:val="clear" w:fill="FFFFFF"/>
          <w:lang w:val="en-US" w:eastAsia="zh-CN"/>
        </w:rPr>
        <w:t>社会效益</w:t>
      </w:r>
      <w:r>
        <w:rPr>
          <w:rFonts w:hint="default" w:ascii="仿宋_GB2312" w:hAnsi="仿宋_GB2312" w:cs="仿宋_GB2312"/>
          <w:b w:val="0"/>
          <w:bCs w:val="0"/>
          <w:i w:val="0"/>
          <w:caps w:val="0"/>
          <w:color w:val="auto"/>
          <w:spacing w:val="0"/>
          <w:sz w:val="32"/>
          <w:szCs w:val="32"/>
          <w:shd w:val="clear" w:fill="FFFFFF"/>
          <w:lang w:val="en-US" w:eastAsia="zh-CN"/>
        </w:rPr>
        <w:t>指标</w:t>
      </w:r>
      <w:r>
        <w:rPr>
          <w:rFonts w:hint="eastAsia" w:ascii="仿宋_GB2312" w:hAnsi="仿宋_GB2312" w:cs="仿宋_GB2312"/>
          <w:b w:val="0"/>
          <w:bCs w:val="0"/>
          <w:i w:val="0"/>
          <w:caps w:val="0"/>
          <w:color w:val="auto"/>
          <w:spacing w:val="0"/>
          <w:sz w:val="32"/>
          <w:szCs w:val="32"/>
          <w:shd w:val="clear" w:fill="FFFFFF"/>
          <w:lang w:val="en-US" w:eastAsia="zh-CN"/>
        </w:rPr>
        <w:t>：</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b w:val="0"/>
          <w:bCs w:val="0"/>
          <w:i w:val="0"/>
          <w:caps w:val="0"/>
          <w:color w:val="auto"/>
          <w:spacing w:val="0"/>
          <w:sz w:val="32"/>
          <w:szCs w:val="32"/>
          <w:shd w:val="clear" w:fill="FFFFFF"/>
          <w:lang w:val="en-US" w:eastAsia="zh-CN"/>
        </w:rPr>
      </w:pPr>
      <w:r>
        <w:rPr>
          <w:rFonts w:hint="eastAsia" w:ascii="仿宋_GB2312" w:hAnsi="仿宋_GB2312" w:cs="仿宋_GB2312"/>
          <w:b w:val="0"/>
          <w:bCs w:val="0"/>
          <w:i w:val="0"/>
          <w:caps w:val="0"/>
          <w:color w:val="auto"/>
          <w:spacing w:val="0"/>
          <w:sz w:val="32"/>
          <w:szCs w:val="32"/>
          <w:shd w:val="clear" w:fill="FFFFFF"/>
          <w:lang w:val="en-US" w:eastAsia="zh-CN"/>
        </w:rPr>
        <w:t>进一步提高</w:t>
      </w:r>
      <w:r>
        <w:rPr>
          <w:rFonts w:hint="default" w:ascii="仿宋_GB2312" w:hAnsi="仿宋_GB2312" w:cs="仿宋_GB2312"/>
          <w:b w:val="0"/>
          <w:bCs w:val="0"/>
          <w:i w:val="0"/>
          <w:caps w:val="0"/>
          <w:color w:val="auto"/>
          <w:spacing w:val="0"/>
          <w:sz w:val="32"/>
          <w:szCs w:val="32"/>
          <w:shd w:val="clear" w:fill="FFFFFF"/>
          <w:lang w:val="en-US" w:eastAsia="zh-CN"/>
        </w:rPr>
        <w:t>管理岗位人员职业素养和业务水平</w:t>
      </w:r>
      <w:r>
        <w:rPr>
          <w:rFonts w:hint="eastAsia" w:ascii="仿宋_GB2312" w:hAnsi="仿宋_GB2312" w:cs="仿宋_GB2312"/>
          <w:b w:val="0"/>
          <w:bCs w:val="0"/>
          <w:i w:val="0"/>
          <w:caps w:val="0"/>
          <w:color w:val="auto"/>
          <w:spacing w:val="0"/>
          <w:sz w:val="32"/>
          <w:szCs w:val="32"/>
          <w:shd w:val="clear" w:fill="FFFFFF"/>
          <w:lang w:val="en-US" w:eastAsia="zh-CN"/>
        </w:rPr>
        <w:t xml:space="preserve"> 定性</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b w:val="0"/>
          <w:bCs w:val="0"/>
          <w:i w:val="0"/>
          <w:caps w:val="0"/>
          <w:color w:val="auto"/>
          <w:spacing w:val="0"/>
          <w:sz w:val="32"/>
          <w:szCs w:val="32"/>
          <w:shd w:val="clear" w:fill="FFFFFF"/>
          <w:lang w:val="en-US" w:eastAsia="zh-CN"/>
        </w:rPr>
      </w:pPr>
      <w:r>
        <w:rPr>
          <w:rFonts w:hint="eastAsia" w:ascii="仿宋_GB2312" w:hAnsi="仿宋_GB2312" w:cs="仿宋_GB2312"/>
          <w:b w:val="0"/>
          <w:bCs w:val="0"/>
          <w:i w:val="0"/>
          <w:caps w:val="0"/>
          <w:color w:val="auto"/>
          <w:spacing w:val="0"/>
          <w:sz w:val="32"/>
          <w:szCs w:val="32"/>
          <w:shd w:val="clear" w:fill="FFFFFF"/>
          <w:lang w:val="en-US" w:eastAsia="zh-CN"/>
        </w:rPr>
        <w:t>促进监管方式和手段创新 定性</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b w:val="0"/>
          <w:bCs w:val="0"/>
          <w:i w:val="0"/>
          <w:caps w:val="0"/>
          <w:color w:val="auto"/>
          <w:spacing w:val="0"/>
          <w:sz w:val="32"/>
          <w:szCs w:val="32"/>
          <w:shd w:val="clear" w:fill="FFFFFF"/>
          <w:lang w:val="en-US" w:eastAsia="zh-CN"/>
        </w:rPr>
      </w:pPr>
      <w:r>
        <w:rPr>
          <w:rFonts w:hint="default" w:ascii="仿宋_GB2312" w:hAnsi="仿宋_GB2312" w:cs="仿宋_GB2312"/>
          <w:b w:val="0"/>
          <w:bCs w:val="0"/>
          <w:i w:val="0"/>
          <w:caps w:val="0"/>
          <w:color w:val="auto"/>
          <w:spacing w:val="0"/>
          <w:sz w:val="32"/>
          <w:szCs w:val="32"/>
          <w:shd w:val="clear" w:fill="FFFFFF"/>
          <w:lang w:val="en-US" w:eastAsia="zh-CN"/>
        </w:rPr>
        <w:t>提高企业风险防控和源头防腐能力</w:t>
      </w:r>
      <w:r>
        <w:rPr>
          <w:rFonts w:hint="eastAsia" w:ascii="仿宋_GB2312" w:hAnsi="仿宋_GB2312" w:cs="仿宋_GB2312"/>
          <w:b w:val="0"/>
          <w:bCs w:val="0"/>
          <w:i w:val="0"/>
          <w:caps w:val="0"/>
          <w:color w:val="auto"/>
          <w:spacing w:val="0"/>
          <w:sz w:val="32"/>
          <w:szCs w:val="32"/>
          <w:shd w:val="clear" w:fill="FFFFFF"/>
          <w:lang w:val="en-US" w:eastAsia="zh-CN"/>
        </w:rPr>
        <w:t xml:space="preserve"> 定性</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b w:val="0"/>
          <w:bCs w:val="0"/>
          <w:i w:val="0"/>
          <w:caps w:val="0"/>
          <w:color w:val="auto"/>
          <w:spacing w:val="0"/>
          <w:sz w:val="32"/>
          <w:szCs w:val="32"/>
          <w:shd w:val="clear" w:fill="FFFFFF"/>
          <w:lang w:val="en-US" w:eastAsia="zh-CN"/>
        </w:rPr>
      </w:pPr>
      <w:r>
        <w:rPr>
          <w:rFonts w:hint="eastAsia" w:ascii="仿宋_GB2312" w:hAnsi="仿宋_GB2312" w:cs="仿宋_GB2312"/>
          <w:b w:val="0"/>
          <w:bCs w:val="0"/>
          <w:i w:val="0"/>
          <w:caps w:val="0"/>
          <w:color w:val="auto"/>
          <w:spacing w:val="0"/>
          <w:sz w:val="32"/>
          <w:szCs w:val="32"/>
          <w:shd w:val="clear" w:fill="FFFFFF"/>
          <w:lang w:val="en-US" w:eastAsia="zh-CN"/>
        </w:rPr>
        <w:t>生态效益指标：</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cs="仿宋_GB2312"/>
          <w:b w:val="0"/>
          <w:bCs w:val="0"/>
          <w:i w:val="0"/>
          <w:caps w:val="0"/>
          <w:color w:val="auto"/>
          <w:spacing w:val="0"/>
          <w:sz w:val="32"/>
          <w:szCs w:val="32"/>
          <w:shd w:val="clear" w:fill="FFFFFF"/>
          <w:lang w:val="en-US" w:eastAsia="zh-CN"/>
        </w:rPr>
      </w:pPr>
      <w:r>
        <w:rPr>
          <w:rFonts w:hint="eastAsia" w:ascii="仿宋_GB2312" w:hAnsi="仿宋_GB2312" w:cs="仿宋_GB2312"/>
          <w:b w:val="0"/>
          <w:bCs w:val="0"/>
          <w:i w:val="0"/>
          <w:caps w:val="0"/>
          <w:color w:val="auto"/>
          <w:spacing w:val="0"/>
          <w:sz w:val="32"/>
          <w:szCs w:val="32"/>
          <w:shd w:val="clear" w:fill="FFFFFF"/>
          <w:lang w:val="en-US" w:eastAsia="zh-CN"/>
        </w:rPr>
        <w:t>选用设备能耗较低 定性</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b w:val="0"/>
          <w:bCs w:val="0"/>
          <w:i w:val="0"/>
          <w:caps w:val="0"/>
          <w:color w:val="auto"/>
          <w:spacing w:val="0"/>
          <w:sz w:val="32"/>
          <w:szCs w:val="32"/>
          <w:shd w:val="clear" w:fill="FFFFFF"/>
          <w:lang w:val="en-US" w:eastAsia="zh-CN"/>
        </w:rPr>
      </w:pPr>
      <w:r>
        <w:rPr>
          <w:rFonts w:hint="default" w:ascii="仿宋_GB2312" w:hAnsi="仿宋_GB2312" w:cs="仿宋_GB2312"/>
          <w:b w:val="0"/>
          <w:bCs w:val="0"/>
          <w:i w:val="0"/>
          <w:caps w:val="0"/>
          <w:color w:val="auto"/>
          <w:spacing w:val="0"/>
          <w:sz w:val="32"/>
          <w:szCs w:val="32"/>
          <w:shd w:val="clear" w:fill="FFFFFF"/>
          <w:lang w:val="en-US" w:eastAsia="zh-CN"/>
        </w:rPr>
        <w:t>可持续影响指标</w:t>
      </w:r>
      <w:r>
        <w:rPr>
          <w:rFonts w:hint="eastAsia" w:ascii="仿宋_GB2312" w:hAnsi="仿宋_GB2312" w:cs="仿宋_GB2312"/>
          <w:b w:val="0"/>
          <w:bCs w:val="0"/>
          <w:i w:val="0"/>
          <w:caps w:val="0"/>
          <w:color w:val="auto"/>
          <w:spacing w:val="0"/>
          <w:sz w:val="32"/>
          <w:szCs w:val="32"/>
          <w:shd w:val="clear" w:fill="FFFFFF"/>
          <w:lang w:val="en-US" w:eastAsia="zh-CN"/>
        </w:rPr>
        <w:t>：</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cs="仿宋_GB2312"/>
          <w:b w:val="0"/>
          <w:bCs w:val="0"/>
          <w:i w:val="0"/>
          <w:caps w:val="0"/>
          <w:color w:val="auto"/>
          <w:spacing w:val="0"/>
          <w:sz w:val="32"/>
          <w:szCs w:val="32"/>
          <w:shd w:val="clear" w:fill="FFFFFF"/>
          <w:lang w:val="en-US" w:eastAsia="zh-CN"/>
        </w:rPr>
      </w:pPr>
      <w:r>
        <w:rPr>
          <w:rFonts w:hint="eastAsia" w:ascii="仿宋_GB2312" w:hAnsi="仿宋_GB2312" w:cs="仿宋_GB2312"/>
          <w:b w:val="0"/>
          <w:bCs w:val="0"/>
          <w:i w:val="0"/>
          <w:caps w:val="0"/>
          <w:color w:val="auto"/>
          <w:spacing w:val="0"/>
          <w:sz w:val="32"/>
          <w:szCs w:val="32"/>
          <w:shd w:val="clear" w:fill="FFFFFF"/>
          <w:lang w:val="en-US" w:eastAsia="zh-CN"/>
        </w:rPr>
        <w:t>提升专业化水平 定性</w:t>
      </w:r>
      <w:bookmarkStart w:id="0" w:name="_GoBack"/>
      <w:bookmarkEnd w:id="0"/>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b/>
          <w:bCs/>
          <w:i w:val="0"/>
          <w:caps w:val="0"/>
          <w:color w:val="auto"/>
          <w:spacing w:val="0"/>
          <w:sz w:val="32"/>
          <w:szCs w:val="32"/>
          <w:shd w:val="clear" w:fill="FFFFFF"/>
          <w:lang w:val="en-US" w:eastAsia="zh-CN"/>
        </w:rPr>
      </w:pPr>
      <w:r>
        <w:rPr>
          <w:rFonts w:hint="default" w:ascii="仿宋_GB2312" w:hAnsi="仿宋_GB2312" w:cs="仿宋_GB2312"/>
          <w:b/>
          <w:bCs/>
          <w:i w:val="0"/>
          <w:caps w:val="0"/>
          <w:color w:val="auto"/>
          <w:spacing w:val="0"/>
          <w:sz w:val="32"/>
          <w:szCs w:val="32"/>
          <w:shd w:val="clear" w:fill="FFFFFF"/>
          <w:lang w:val="en-US" w:eastAsia="zh-CN"/>
        </w:rPr>
        <w:t>满意度指标</w:t>
      </w:r>
      <w:r>
        <w:rPr>
          <w:rFonts w:hint="eastAsia" w:ascii="仿宋_GB2312" w:hAnsi="仿宋_GB2312" w:cs="仿宋_GB2312"/>
          <w:b/>
          <w:bCs/>
          <w:i w:val="0"/>
          <w:caps w:val="0"/>
          <w:color w:val="auto"/>
          <w:spacing w:val="0"/>
          <w:sz w:val="32"/>
          <w:szCs w:val="32"/>
          <w:shd w:val="clear" w:fill="FFFFFF"/>
          <w:lang w:val="en-US" w:eastAsia="zh-CN"/>
        </w:rPr>
        <w:t>情况分析</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b w:val="0"/>
          <w:bCs w:val="0"/>
          <w:i w:val="0"/>
          <w:caps w:val="0"/>
          <w:color w:val="auto"/>
          <w:spacing w:val="0"/>
          <w:sz w:val="32"/>
          <w:szCs w:val="32"/>
          <w:shd w:val="clear" w:fill="FFFFFF"/>
          <w:lang w:val="en-US" w:eastAsia="zh-CN"/>
        </w:rPr>
      </w:pPr>
      <w:r>
        <w:rPr>
          <w:rFonts w:hint="default" w:ascii="仿宋_GB2312" w:hAnsi="仿宋_GB2312" w:cs="仿宋_GB2312"/>
          <w:b w:val="0"/>
          <w:bCs w:val="0"/>
          <w:i w:val="0"/>
          <w:caps w:val="0"/>
          <w:color w:val="auto"/>
          <w:spacing w:val="0"/>
          <w:sz w:val="32"/>
          <w:szCs w:val="32"/>
          <w:shd w:val="clear" w:fill="FFFFFF"/>
          <w:lang w:val="en-US" w:eastAsia="zh-CN"/>
        </w:rPr>
        <w:t>满意度指标</w:t>
      </w:r>
      <w:r>
        <w:rPr>
          <w:rFonts w:hint="eastAsia" w:ascii="仿宋_GB2312" w:hAnsi="仿宋_GB2312" w:cs="仿宋_GB2312"/>
          <w:b w:val="0"/>
          <w:bCs w:val="0"/>
          <w:i w:val="0"/>
          <w:caps w:val="0"/>
          <w:color w:val="auto"/>
          <w:spacing w:val="0"/>
          <w:sz w:val="32"/>
          <w:szCs w:val="32"/>
          <w:shd w:val="clear" w:fill="FFFFFF"/>
          <w:lang w:val="en-US" w:eastAsia="zh-CN"/>
        </w:rPr>
        <w:t>：</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cs="仿宋_GB2312"/>
          <w:b w:val="0"/>
          <w:bCs w:val="0"/>
          <w:i w:val="0"/>
          <w:caps w:val="0"/>
          <w:color w:val="FF0000"/>
          <w:spacing w:val="0"/>
          <w:sz w:val="32"/>
          <w:szCs w:val="32"/>
          <w:shd w:val="clear" w:fill="FFFFFF"/>
          <w:lang w:val="en-US" w:eastAsia="zh-CN"/>
        </w:rPr>
      </w:pPr>
      <w:r>
        <w:rPr>
          <w:rFonts w:hint="default" w:ascii="仿宋_GB2312" w:hAnsi="仿宋_GB2312" w:cs="仿宋_GB2312"/>
          <w:b w:val="0"/>
          <w:bCs w:val="0"/>
          <w:i w:val="0"/>
          <w:caps w:val="0"/>
          <w:color w:val="auto"/>
          <w:spacing w:val="0"/>
          <w:sz w:val="32"/>
          <w:szCs w:val="32"/>
          <w:shd w:val="clear" w:fill="FFFFFF"/>
          <w:lang w:val="en-US" w:eastAsia="zh-CN"/>
        </w:rPr>
        <w:t>培训满意度</w:t>
      </w:r>
      <w:r>
        <w:rPr>
          <w:rFonts w:hint="eastAsia" w:ascii="仿宋_GB2312" w:hAnsi="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cs="仿宋_GB2312"/>
          <w:i w:val="0"/>
          <w:caps w:val="0"/>
          <w:color w:val="auto"/>
          <w:spacing w:val="0"/>
          <w:sz w:val="32"/>
          <w:szCs w:val="32"/>
          <w:shd w:val="clear" w:fill="FFFFFF"/>
          <w:lang w:val="en-US" w:eastAsia="zh-CN"/>
        </w:rPr>
        <w:t>＝ 100%</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黑体" w:hAnsi="黑体" w:eastAsia="黑体" w:cs="黑体"/>
          <w:b w:val="0"/>
          <w:bCs w:val="0"/>
          <w:i w:val="0"/>
          <w:caps w:val="0"/>
          <w:color w:val="auto"/>
          <w:spacing w:val="0"/>
          <w:sz w:val="32"/>
          <w:szCs w:val="32"/>
          <w:shd w:val="clear" w:fill="FFFFFF"/>
          <w:lang w:val="en-US" w:eastAsia="zh-CN"/>
        </w:rPr>
      </w:pPr>
      <w:r>
        <w:rPr>
          <w:rFonts w:hint="eastAsia" w:ascii="黑体" w:hAnsi="黑体" w:eastAsia="黑体" w:cs="黑体"/>
          <w:b w:val="0"/>
          <w:bCs w:val="0"/>
          <w:i w:val="0"/>
          <w:caps w:val="0"/>
          <w:color w:val="auto"/>
          <w:spacing w:val="0"/>
          <w:sz w:val="32"/>
          <w:szCs w:val="32"/>
          <w:shd w:val="clear" w:fill="FFFFFF"/>
          <w:lang w:val="en-US" w:eastAsia="zh-CN"/>
        </w:rPr>
        <w:t>五、部门政府性基金预算支出情况说明</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cs="仿宋_GB2312"/>
          <w:b w:val="0"/>
          <w:bCs w:val="0"/>
          <w:i w:val="0"/>
          <w:caps w:val="0"/>
          <w:color w:val="auto"/>
          <w:spacing w:val="0"/>
          <w:sz w:val="32"/>
          <w:szCs w:val="32"/>
          <w:shd w:val="clear" w:fill="FFFFFF"/>
          <w:lang w:val="en-US" w:eastAsia="zh-CN"/>
        </w:rPr>
      </w:pPr>
      <w:r>
        <w:rPr>
          <w:rFonts w:hint="eastAsia" w:ascii="仿宋_GB2312" w:hAnsi="仿宋_GB2312" w:cs="仿宋_GB2312"/>
          <w:b w:val="0"/>
          <w:bCs w:val="0"/>
          <w:i w:val="0"/>
          <w:caps w:val="0"/>
          <w:color w:val="auto"/>
          <w:spacing w:val="0"/>
          <w:sz w:val="32"/>
          <w:szCs w:val="32"/>
          <w:shd w:val="clear" w:fill="FFFFFF"/>
          <w:lang w:val="en-US" w:eastAsia="zh-CN"/>
        </w:rPr>
        <w:t xml:space="preserve">我委无政府性基金预算财政拨款收入支出。  </w:t>
      </w:r>
    </w:p>
    <w:p>
      <w:pPr>
        <w:keepNext w:val="0"/>
        <w:keepLines w:val="0"/>
        <w:pageBreakBefore w:val="0"/>
        <w:widowControl/>
        <w:numPr>
          <w:ilvl w:val="0"/>
          <w:numId w:val="0"/>
        </w:numPr>
        <w:wordWrap/>
        <w:overflowPunct/>
        <w:topLinePunct w:val="0"/>
        <w:autoSpaceDN w:val="0"/>
        <w:bidi w:val="0"/>
        <w:spacing w:before="240" w:line="560" w:lineRule="exact"/>
        <w:jc w:val="center"/>
        <w:rPr>
          <w:rFonts w:hint="eastAsia" w:ascii="黑体" w:hAnsi="黑体" w:eastAsia="黑体" w:cs="黑体"/>
          <w:color w:val="auto"/>
          <w:spacing w:val="-5"/>
          <w:sz w:val="32"/>
          <w:szCs w:val="32"/>
          <w:lang w:eastAsia="zh-CN"/>
        </w:rPr>
      </w:pPr>
    </w:p>
    <w:p>
      <w:pPr>
        <w:pStyle w:val="5"/>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i w:val="0"/>
          <w:caps w:val="0"/>
          <w:color w:val="auto"/>
          <w:spacing w:val="0"/>
          <w:sz w:val="36"/>
          <w:szCs w:val="36"/>
          <w:shd w:val="clear" w:fill="FFFFFF"/>
          <w:lang w:val="en-US" w:eastAsia="zh-CN"/>
        </w:rPr>
      </w:pPr>
      <w:r>
        <w:rPr>
          <w:rFonts w:hint="eastAsia" w:ascii="黑体" w:hAnsi="黑体" w:eastAsia="黑体" w:cs="黑体"/>
          <w:b w:val="0"/>
          <w:bCs w:val="0"/>
          <w:i w:val="0"/>
          <w:caps w:val="0"/>
          <w:color w:val="auto"/>
          <w:spacing w:val="0"/>
          <w:sz w:val="36"/>
          <w:szCs w:val="36"/>
          <w:shd w:val="clear" w:fill="FFFFFF"/>
          <w:lang w:val="en-US" w:eastAsia="zh-CN"/>
        </w:rPr>
        <w:t>第四部分  名词解释</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财政拨款收入：指财政当年拨付的资金。</w:t>
      </w:r>
    </w:p>
    <w:p>
      <w:pPr>
        <w:keepNext w:val="0"/>
        <w:keepLines w:val="0"/>
        <w:pageBreakBefore w:val="0"/>
        <w:widowControl/>
        <w:kinsoku/>
        <w:wordWrap/>
        <w:overflowPunct/>
        <w:topLinePunct w:val="0"/>
        <w:autoSpaceDE/>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社会保障和就业支出（类）行政事业单位养老支出（款） 机关事业单位基本养老保险缴费支出（项）：指市</w:t>
      </w:r>
      <w:r>
        <w:rPr>
          <w:rFonts w:hint="eastAsia" w:ascii="仿宋_GB2312" w:hAnsi="仿宋_GB2312" w:eastAsia="仿宋_GB2312" w:cs="仿宋_GB2312"/>
          <w:color w:val="auto"/>
          <w:sz w:val="32"/>
          <w:szCs w:val="32"/>
          <w:lang w:eastAsia="zh-CN"/>
        </w:rPr>
        <w:t>政府国资委</w:t>
      </w:r>
      <w:r>
        <w:rPr>
          <w:rFonts w:hint="eastAsia" w:ascii="仿宋_GB2312" w:hAnsi="仿宋_GB2312" w:eastAsia="仿宋_GB2312" w:cs="仿宋_GB2312"/>
          <w:color w:val="auto"/>
          <w:sz w:val="32"/>
          <w:szCs w:val="32"/>
        </w:rPr>
        <w:t>用于缴纳在职人员基本养老保险的单位负担部分支出。</w:t>
      </w:r>
    </w:p>
    <w:p>
      <w:pPr>
        <w:keepNext w:val="0"/>
        <w:keepLines w:val="0"/>
        <w:pageBreakBefore w:val="0"/>
        <w:widowControl/>
        <w:kinsoku/>
        <w:wordWrap/>
        <w:overflowPunct/>
        <w:topLinePunct w:val="0"/>
        <w:autoSpaceDE/>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社会保障和就业支出（类）行政事业单位养老支出（款） 机关事业单位职业年金缴费支出（项）：指市</w:t>
      </w:r>
      <w:r>
        <w:rPr>
          <w:rFonts w:hint="eastAsia" w:ascii="仿宋_GB2312" w:hAnsi="仿宋_GB2312" w:eastAsia="仿宋_GB2312" w:cs="仿宋_GB2312"/>
          <w:color w:val="auto"/>
          <w:sz w:val="32"/>
          <w:szCs w:val="32"/>
          <w:lang w:eastAsia="zh-CN"/>
        </w:rPr>
        <w:t>政府国资委</w:t>
      </w:r>
      <w:r>
        <w:rPr>
          <w:rFonts w:hint="eastAsia" w:ascii="仿宋_GB2312" w:hAnsi="仿宋_GB2312" w:eastAsia="仿宋_GB2312" w:cs="仿宋_GB2312"/>
          <w:color w:val="auto"/>
          <w:sz w:val="32"/>
          <w:szCs w:val="32"/>
        </w:rPr>
        <w:t>用于缴纳在职人员职业年金的单位负担部分支出。</w:t>
      </w:r>
    </w:p>
    <w:p>
      <w:pPr>
        <w:keepNext w:val="0"/>
        <w:keepLines w:val="0"/>
        <w:pageBreakBefore w:val="0"/>
        <w:widowControl/>
        <w:kinsoku/>
        <w:wordWrap/>
        <w:overflowPunct/>
        <w:topLinePunct w:val="0"/>
        <w:autoSpaceDE/>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住房保障支出（类）住房改革支出（款）提租补贴（项）：指市</w:t>
      </w:r>
      <w:r>
        <w:rPr>
          <w:rFonts w:hint="eastAsia" w:ascii="仿宋_GB2312" w:hAnsi="仿宋_GB2312" w:eastAsia="仿宋_GB2312" w:cs="仿宋_GB2312"/>
          <w:color w:val="auto"/>
          <w:sz w:val="32"/>
          <w:szCs w:val="32"/>
          <w:lang w:eastAsia="zh-CN"/>
        </w:rPr>
        <w:t>政府国资委</w:t>
      </w:r>
      <w:r>
        <w:rPr>
          <w:rFonts w:hint="eastAsia" w:ascii="仿宋_GB2312" w:hAnsi="仿宋_GB2312" w:eastAsia="仿宋_GB2312" w:cs="仿宋_GB2312"/>
          <w:color w:val="auto"/>
          <w:sz w:val="32"/>
          <w:szCs w:val="32"/>
        </w:rPr>
        <w:t>用于发放在职人员和离退休人员提租补贴的支出。</w:t>
      </w:r>
    </w:p>
    <w:p>
      <w:pPr>
        <w:keepNext w:val="0"/>
        <w:keepLines w:val="0"/>
        <w:pageBreakBefore w:val="0"/>
        <w:widowControl/>
        <w:kinsoku/>
        <w:wordWrap/>
        <w:overflowPunct/>
        <w:topLinePunct w:val="0"/>
        <w:autoSpaceDE/>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、住房保障支出（类）住房改革支出（款）住房公积金（项）：指市</w:t>
      </w:r>
      <w:r>
        <w:rPr>
          <w:rFonts w:hint="eastAsia" w:ascii="仿宋_GB2312" w:hAnsi="仿宋_GB2312" w:eastAsia="仿宋_GB2312" w:cs="仿宋_GB2312"/>
          <w:color w:val="auto"/>
          <w:sz w:val="32"/>
          <w:szCs w:val="32"/>
          <w:lang w:eastAsia="zh-CN"/>
        </w:rPr>
        <w:t>政府国资委</w:t>
      </w:r>
      <w:r>
        <w:rPr>
          <w:rFonts w:hint="eastAsia" w:ascii="仿宋_GB2312" w:hAnsi="仿宋_GB2312" w:eastAsia="仿宋_GB2312" w:cs="仿宋_GB2312"/>
          <w:color w:val="auto"/>
          <w:sz w:val="32"/>
          <w:szCs w:val="32"/>
        </w:rPr>
        <w:t>用于缴纳在职人员住房公积金的单位负担部分支出。</w:t>
      </w:r>
    </w:p>
    <w:p>
      <w:pPr>
        <w:keepNext w:val="0"/>
        <w:keepLines w:val="0"/>
        <w:pageBreakBefore w:val="0"/>
        <w:widowControl/>
        <w:kinsoku/>
        <w:wordWrap/>
        <w:overflowPunct/>
        <w:topLinePunct w:val="0"/>
        <w:autoSpaceDE/>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机关运行经费：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政府采购：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pPr>
        <w:keepNext w:val="0"/>
        <w:keepLines w:val="0"/>
        <w:pageBreakBefore w:val="0"/>
        <w:widowControl/>
        <w:kinsoku/>
        <w:wordWrap/>
        <w:overflowPunct/>
        <w:topLinePunct w:val="0"/>
        <w:autoSpaceDE/>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、基本支出：指为保障机构正常运转、完成日常工作任务而发生的人员支出和公用支出。</w:t>
      </w:r>
    </w:p>
    <w:p>
      <w:pPr>
        <w:keepNext w:val="0"/>
        <w:keepLines w:val="0"/>
        <w:pageBreakBefore w:val="0"/>
        <w:widowControl/>
        <w:kinsoku/>
        <w:wordWrap/>
        <w:overflowPunct/>
        <w:topLinePunct w:val="0"/>
        <w:autoSpaceDE/>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九</w:t>
      </w:r>
      <w:r>
        <w:rPr>
          <w:rFonts w:hint="eastAsia" w:ascii="仿宋_GB2312" w:hAnsi="仿宋_GB2312" w:eastAsia="仿宋_GB2312" w:cs="仿宋_GB2312"/>
          <w:color w:val="auto"/>
          <w:sz w:val="32"/>
          <w:szCs w:val="32"/>
        </w:rPr>
        <w:t>、项目支出：指在基本支出之外为完成特定行政任务和事业发展目标所发生的支出。</w:t>
      </w:r>
    </w:p>
    <w:p>
      <w:pPr>
        <w:keepNext w:val="0"/>
        <w:keepLines w:val="0"/>
        <w:pageBreakBefore w:val="0"/>
        <w:widowControl/>
        <w:kinsoku/>
        <w:wordWrap/>
        <w:overflowPunct/>
        <w:topLinePunct w:val="0"/>
        <w:autoSpaceDE/>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公”经费：指用财政拨款安排的因公出国（境）费、公务用车购置及运行维护、公务接待费。其中，因公出国(境)费,指单位工作人员公务出国(境)的住宿费、旅费、伙食补助费、杂费、培训费等支出；公务用车购置及运行费,指单位公务用车购置、燃料费、维修费、过路过桥费、保险费等支出；公务接待费,指单位按规定开支的各类公务接待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楷体-GB2312">
    <w:altName w:val="楷体_GB2312"/>
    <w:panose1 w:val="02000500000000000000"/>
    <w:charset w:val="86"/>
    <w:family w:val="auto"/>
    <w:pitch w:val="default"/>
    <w:sig w:usb0="00000000" w:usb1="00000000" w:usb2="00000012"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NzFmOTg1OTkwYTlmYmNjZTdmYjhhMzIzNjZmNzcifQ=="/>
  </w:docVars>
  <w:rsids>
    <w:rsidRoot w:val="69814843"/>
    <w:rsid w:val="09254171"/>
    <w:rsid w:val="0A272D6D"/>
    <w:rsid w:val="0E377A2F"/>
    <w:rsid w:val="0FE475FA"/>
    <w:rsid w:val="107A15DC"/>
    <w:rsid w:val="11521275"/>
    <w:rsid w:val="13082C09"/>
    <w:rsid w:val="1542552E"/>
    <w:rsid w:val="16DB47AB"/>
    <w:rsid w:val="1BAA44F7"/>
    <w:rsid w:val="1D330E9E"/>
    <w:rsid w:val="23A875A4"/>
    <w:rsid w:val="25D25FB3"/>
    <w:rsid w:val="27251A1C"/>
    <w:rsid w:val="28816969"/>
    <w:rsid w:val="2D6A19C8"/>
    <w:rsid w:val="316B203F"/>
    <w:rsid w:val="33C42D7A"/>
    <w:rsid w:val="3496357F"/>
    <w:rsid w:val="37C97278"/>
    <w:rsid w:val="3AEE13B3"/>
    <w:rsid w:val="409D105B"/>
    <w:rsid w:val="40F00E8F"/>
    <w:rsid w:val="422F6439"/>
    <w:rsid w:val="48F45E37"/>
    <w:rsid w:val="4AA81F62"/>
    <w:rsid w:val="4C172E84"/>
    <w:rsid w:val="4C285846"/>
    <w:rsid w:val="4D402313"/>
    <w:rsid w:val="554D410A"/>
    <w:rsid w:val="587C29ED"/>
    <w:rsid w:val="59970125"/>
    <w:rsid w:val="5E1C5709"/>
    <w:rsid w:val="5ED52133"/>
    <w:rsid w:val="5F6E35BC"/>
    <w:rsid w:val="61C832F2"/>
    <w:rsid w:val="61DA2E84"/>
    <w:rsid w:val="62766AE0"/>
    <w:rsid w:val="66C27598"/>
    <w:rsid w:val="69814843"/>
    <w:rsid w:val="6AA343B8"/>
    <w:rsid w:val="6C2E7D55"/>
    <w:rsid w:val="6CC20714"/>
    <w:rsid w:val="6D356354"/>
    <w:rsid w:val="783864FA"/>
    <w:rsid w:val="78F067D1"/>
    <w:rsid w:val="7A9B5E6B"/>
    <w:rsid w:val="7AE407DD"/>
    <w:rsid w:val="7FFC3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9"/>
    <w:pPr>
      <w:keepNext/>
      <w:keepLines/>
      <w:widowControl w:val="0"/>
      <w:spacing w:before="260" w:after="260" w:line="416" w:lineRule="auto"/>
      <w:jc w:val="both"/>
      <w:outlineLvl w:val="1"/>
    </w:pPr>
    <w:rPr>
      <w:rFonts w:ascii="Calibri Light" w:hAnsi="Calibri Light" w:eastAsia="宋体" w:cs="Times New Roman"/>
      <w:b/>
      <w:bCs/>
      <w:kern w:val="2"/>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rFonts w:ascii="Times New Roman" w:hAnsi="Times New Roman"/>
      <w:szCs w:val="20"/>
    </w:rPr>
  </w:style>
  <w:style w:type="paragraph" w:styleId="3">
    <w:name w:val="Body Text Indent"/>
    <w:basedOn w:val="1"/>
    <w:next w:val="2"/>
    <w:qFormat/>
    <w:uiPriority w:val="0"/>
    <w:pPr>
      <w:ind w:firstLine="660"/>
    </w:pPr>
    <w:rPr>
      <w:rFonts w:ascii="楷体_GB2312" w:hAnsi="宋体"/>
    </w:rPr>
  </w:style>
  <w:style w:type="paragraph" w:styleId="5">
    <w:name w:val="Body Text"/>
    <w:basedOn w:val="1"/>
    <w:qFormat/>
    <w:uiPriority w:val="0"/>
    <w:rPr>
      <w:rFonts w:eastAsia="仿宋_GB2312"/>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next w:val="5"/>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22"/>
    <w:rPr>
      <w:b/>
      <w:bCs/>
    </w:rPr>
  </w:style>
  <w:style w:type="character" w:styleId="12">
    <w:name w:val="Emphasis"/>
    <w:basedOn w:val="10"/>
    <w:qFormat/>
    <w:uiPriority w:val="0"/>
    <w:rPr>
      <w:i/>
    </w:rPr>
  </w:style>
  <w:style w:type="paragraph" w:customStyle="1" w:styleId="13">
    <w:name w:val="No Spacing_ad81b47b-6779-4c76-b471-79375858c8cb"/>
    <w:basedOn w:val="1"/>
    <w:next w:val="1"/>
    <w:qFormat/>
    <w:uiPriority w:val="0"/>
    <w:rPr>
      <w:rFonts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7997</Words>
  <Characters>9645</Characters>
  <Lines>0</Lines>
  <Paragraphs>0</Paragraphs>
  <TotalTime>7</TotalTime>
  <ScaleCrop>false</ScaleCrop>
  <LinksUpToDate>false</LinksUpToDate>
  <CharactersWithSpaces>10238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2021-02-02T07:15:00Z</dcterms:created>
  <dc:creator>白白白白</dc:creator>
  <cp:lastModifiedBy>阚</cp:lastModifiedBy>
  <cp:lastPrinted>2023-02-08T02:37:00Z</cp:lastPrinted>
  <dcterms:modified xsi:type="dcterms:W3CDTF">2023-02-08T03:05:07Z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481D68EA310341F4A404C9BD6EE409AB</vt:lpwstr>
  </property>
</Properties>
</file>